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D3" w:rsidRPr="00E7068A" w:rsidRDefault="00DA3CD6" w:rsidP="005078D2">
      <w:pPr>
        <w:pStyle w:val="Heading1"/>
      </w:pPr>
      <w:r>
        <w:t>M</w:t>
      </w:r>
      <w:r w:rsidR="00FF0CD3" w:rsidRPr="00E7068A">
        <w:t>edia literacy skills for discovering, evaluating and re</w:t>
      </w:r>
      <w:r w:rsidR="00D61FBB">
        <w:t>-</w:t>
      </w:r>
      <w:r w:rsidR="00FF0CD3" w:rsidRPr="00E7068A">
        <w:t xml:space="preserve">using </w:t>
      </w:r>
      <w:r w:rsidR="00D61FBB" w:rsidRPr="00E7068A">
        <w:t xml:space="preserve">visual </w:t>
      </w:r>
      <w:r w:rsidR="00D61FBB">
        <w:t xml:space="preserve">and </w:t>
      </w:r>
      <w:r w:rsidR="00FF0CD3" w:rsidRPr="00E7068A">
        <w:t>sound resources</w:t>
      </w:r>
    </w:p>
    <w:p w:rsidR="00153079" w:rsidRPr="005078D2" w:rsidRDefault="00FF0CD3" w:rsidP="00153079">
      <w:r w:rsidRPr="005078D2">
        <w:t>Purdy,</w:t>
      </w:r>
      <w:r w:rsidR="00153079">
        <w:t xml:space="preserve"> L. and Quinn, S. </w:t>
      </w:r>
      <w:r w:rsidRPr="005078D2">
        <w:t xml:space="preserve">(Learning and Information Services) </w:t>
      </w:r>
      <w:r w:rsidR="00153079">
        <w:br/>
      </w:r>
      <w:proofErr w:type="spellStart"/>
      <w:r w:rsidRPr="005078D2">
        <w:t>Cunliffe-Charlesworth</w:t>
      </w:r>
      <w:proofErr w:type="spellEnd"/>
      <w:r w:rsidRPr="005078D2">
        <w:t xml:space="preserve">, </w:t>
      </w:r>
      <w:r w:rsidR="00153079">
        <w:t xml:space="preserve">H. and </w:t>
      </w:r>
      <w:proofErr w:type="spellStart"/>
      <w:r w:rsidRPr="005078D2">
        <w:t>Dujardin</w:t>
      </w:r>
      <w:proofErr w:type="spellEnd"/>
      <w:r w:rsidR="00153079">
        <w:t>, A.-F.</w:t>
      </w:r>
      <w:r w:rsidRPr="005078D2">
        <w:t xml:space="preserve"> (</w:t>
      </w:r>
      <w:r w:rsidR="00077D7F" w:rsidRPr="005078D2">
        <w:t>Communication and Media Arts</w:t>
      </w:r>
      <w:r w:rsidR="00DA3CD6">
        <w:t xml:space="preserve"> Studies</w:t>
      </w:r>
      <w:r w:rsidRPr="005078D2">
        <w:t>)</w:t>
      </w:r>
      <w:r w:rsidR="00153079" w:rsidRPr="00153079">
        <w:t xml:space="preserve"> </w:t>
      </w:r>
      <w:r w:rsidR="00153079" w:rsidRPr="005078D2">
        <w:t xml:space="preserve">Sheffield Hallam University </w:t>
      </w:r>
    </w:p>
    <w:p w:rsidR="00FF0CD3" w:rsidRDefault="00FF0CD3" w:rsidP="005078D2">
      <w:pPr>
        <w:pStyle w:val="Heading2"/>
      </w:pPr>
      <w:r w:rsidRPr="00E7068A">
        <w:t>Abstract</w:t>
      </w:r>
    </w:p>
    <w:p w:rsidR="00C741EE" w:rsidRPr="00C741EE" w:rsidRDefault="00C741EE" w:rsidP="008E34BA">
      <w:r>
        <w:t xml:space="preserve">Digital and visual </w:t>
      </w:r>
      <w:proofErr w:type="spellStart"/>
      <w:r w:rsidR="008E34BA">
        <w:t>literacies</w:t>
      </w:r>
      <w:proofErr w:type="spellEnd"/>
      <w:r w:rsidR="008E34BA">
        <w:t xml:space="preserve"> </w:t>
      </w:r>
      <w:r>
        <w:t xml:space="preserve">are now recognised as core skills for undergraduates. However, it is also recognised that students need support in developing those skills, partly because they do </w:t>
      </w:r>
      <w:r w:rsidR="0062182A">
        <w:t xml:space="preserve">not </w:t>
      </w:r>
      <w:r>
        <w:t>always have them before the</w:t>
      </w:r>
      <w:r w:rsidR="005511E6">
        <w:t>y</w:t>
      </w:r>
      <w:r>
        <w:t xml:space="preserve"> start university, and partly because </w:t>
      </w:r>
      <w:r w:rsidR="005511E6">
        <w:t xml:space="preserve">they show </w:t>
      </w:r>
      <w:r>
        <w:t xml:space="preserve">a lack of awareness in key issues such </w:t>
      </w:r>
      <w:r w:rsidR="0062182A">
        <w:t xml:space="preserve">as </w:t>
      </w:r>
      <w:r>
        <w:t xml:space="preserve">copyright compliance. To </w:t>
      </w:r>
      <w:r w:rsidR="000E6195">
        <w:t>enable</w:t>
      </w:r>
      <w:r>
        <w:t xml:space="preserve"> student </w:t>
      </w:r>
      <w:r w:rsidR="000E6195">
        <w:t>autonomy in the area of visual communication</w:t>
      </w:r>
      <w:r>
        <w:t xml:space="preserve"> we </w:t>
      </w:r>
      <w:r w:rsidR="005511E6">
        <w:t>designed</w:t>
      </w:r>
      <w:r>
        <w:t xml:space="preserve"> an online resource </w:t>
      </w:r>
      <w:r w:rsidR="00DA3CD6">
        <w:t>called VIA (Video Image and Audio)</w:t>
      </w:r>
      <w:r>
        <w:t xml:space="preserve">. This report describes the project which involved a design phase and an evaluation phase to which undergraduates, postgraduates and Information Advisers participated. We received useful feedback to improve the resource, and overall, the </w:t>
      </w:r>
      <w:r w:rsidR="00DA3CD6">
        <w:t>VIA</w:t>
      </w:r>
      <w:r>
        <w:t xml:space="preserve"> resource was well accepted by all stakeholders.</w:t>
      </w:r>
    </w:p>
    <w:p w:rsidR="00FF0CD3" w:rsidRDefault="00FF0CD3" w:rsidP="005078D2">
      <w:pPr>
        <w:pStyle w:val="Heading2"/>
      </w:pPr>
      <w:r w:rsidRPr="00E7068A">
        <w:t>Background</w:t>
      </w:r>
    </w:p>
    <w:p w:rsidR="009F1E52" w:rsidRDefault="00FF0CD3" w:rsidP="009F1E52">
      <w:r w:rsidRPr="005078D2">
        <w:t xml:space="preserve">We live in an increasingly media rich society and students are entering the University with an expectation of accessing and reusing media resources in their work. They are used to having film, TV, radio and images at their fingertips particularly via the internet. </w:t>
      </w:r>
      <w:r w:rsidR="009F1E52">
        <w:t>However, s</w:t>
      </w:r>
      <w:r w:rsidR="009F1E52" w:rsidRPr="005078D2">
        <w:t xml:space="preserve">tudents tend to be naive and inexperienced in how to discover quality resources and the factors to consider when critically evaluating and reusing them. The instinctive approach is to undertake a Google search, and copy and reuse any resources which match the subject requirement without regard to provenance, copyright and technical limitations. </w:t>
      </w:r>
    </w:p>
    <w:p w:rsidR="00282701" w:rsidRDefault="00282701" w:rsidP="00282701">
      <w:pPr>
        <w:pStyle w:val="Heading3"/>
      </w:pPr>
      <w:r>
        <w:t xml:space="preserve">Approach to learning </w:t>
      </w:r>
    </w:p>
    <w:p w:rsidR="0013048C" w:rsidRDefault="002562EA" w:rsidP="00CB11B9">
      <w:r>
        <w:t>In general, students exercise autonomy when they become engag</w:t>
      </w:r>
      <w:r w:rsidR="009B2405">
        <w:t>ed in</w:t>
      </w:r>
      <w:r>
        <w:t xml:space="preserve"> all aspects of the learning process – planning, implementing</w:t>
      </w:r>
      <w:r w:rsidR="00CB11B9">
        <w:t xml:space="preserve"> and</w:t>
      </w:r>
      <w:r>
        <w:t xml:space="preserve"> evaluating</w:t>
      </w:r>
      <w:r w:rsidR="004E35A4">
        <w:t xml:space="preserve"> </w:t>
      </w:r>
      <w:r w:rsidR="00F248C9">
        <w:fldChar w:fldCharType="begin"/>
      </w:r>
      <w:r w:rsidR="005579F1">
        <w:instrText xml:space="preserve"> ADDIN EN.CITE &lt;EndNote&gt;&lt;Cite&gt;&lt;Author&gt;Little&lt;/Author&gt;&lt;Year&gt;2003&lt;/Year&gt;&lt;RecNum&gt;585&lt;/RecNum&gt;&lt;Prefix&gt;e.g. &lt;/Prefix&gt;&lt;record&gt;&lt;rec-number&gt;585&lt;/rec-number&gt;&lt;ref-type name="Edited Book"&gt;28&lt;/ref-type&gt;&lt;contributors&gt;&lt;authors&gt;&lt;author&gt;D. Little&lt;/author&gt;&lt;/authors&gt;&lt;/contributors&gt;&lt;titles&gt;&lt;title&gt;Learner Autonomy in Foreign Language Classrooms: Teacher, Learner, Curriculum and Assessment&lt;/title&gt;&lt;/titles&gt;&lt;keywords&gt;&lt;keyword&gt;CETL PLA&lt;/keyword&gt;&lt;keyword&gt;autonomy&lt;/keyword&gt;&lt;/keywords&gt;&lt;dates&gt;&lt;year&gt;2003&lt;/year&gt;&lt;/dates&gt;&lt;pub-location&gt;Dublin&lt;/pub-location&gt;&lt;publisher&gt;Authentik&lt;/publisher&gt;&lt;urls&gt;&lt;/urls&gt;&lt;/record&gt;&lt;/Cite&gt;&lt;Cite&gt;&lt;Author&gt;Scharle&lt;/Author&gt;&lt;Year&gt;2000&lt;/Year&gt;&lt;RecNum&gt;598&lt;/RecNum&gt;&lt;record&gt;&lt;rec-number&gt;598&lt;/rec-number&gt;&lt;ref-type name="Book"&gt;6&lt;/ref-type&gt;&lt;contributors&gt;&lt;authors&gt;&lt;author&gt;Scharle, A.&lt;/author&gt;&lt;author&gt;Szabo, A.&lt;/author&gt;&lt;/authors&gt;&lt;/contributors&gt;&lt;titles&gt;&lt;title&gt;Learner Autonomy: a Guide to Developing Learner Responsibility&lt;/title&gt;&lt;/titles&gt;&lt;keywords&gt;&lt;keyword&gt;CETL PLA&lt;/keyword&gt;&lt;keyword&gt;autonomy&lt;/keyword&gt;&lt;keyword&gt;student&lt;/keyword&gt;&lt;keyword&gt;negotiation&lt;/keyword&gt;&lt;keyword&gt;learning style&lt;/keyword&gt;&lt;/keywords&gt;&lt;dates&gt;&lt;year&gt;2000&lt;/year&gt;&lt;/dates&gt;&lt;pub-location&gt;Cambridge&lt;/pub-location&gt;&lt;publisher&gt;Cambridge University Press&lt;/publisher&gt;&lt;isbn&gt;9780521775342&lt;/isbn&gt;&lt;urls&gt;&lt;/urls&gt;&lt;/record&gt;&lt;/Cite&gt;&lt;Cite&gt;&lt;Author&gt;Thanasoulas&lt;/Author&gt;&lt;Year&gt;2000&lt;/Year&gt;&lt;RecNum&gt;377&lt;/RecNum&gt;&lt;record&gt;&lt;rec-number&gt;377&lt;/rec-number&gt;&lt;ref-type name="Web Page"&gt;12&lt;/ref-type&gt;&lt;contributors&gt;&lt;authors&gt;&lt;author&gt;Thanasoulas, C. &lt;/author&gt;&lt;/authors&gt;&lt;/contributors&gt;&lt;titles&gt;&lt;title&gt;What is learner autonomy and how can it be fostered?&lt;/title&gt;&lt;secondary-title&gt; Internet TESL Journal&lt;/secondary-title&gt;&lt;/titles&gt;&lt;volume&gt;2006&lt;/volume&gt;&lt;number&gt;November&lt;/number&gt;&lt;keywords&gt;&lt;keyword&gt;autonomy&lt;/keyword&gt;&lt;keyword&gt;CETL PLA&lt;/keyword&gt;&lt;keyword&gt;pedagogy&lt;/keyword&gt;&lt;/keywords&gt;&lt;dates&gt;&lt;year&gt;2000&lt;/year&gt;&lt;/dates&gt;&lt;urls&gt;&lt;related-urls&gt;&lt;url&gt;http://iteslj.org/Articles/Thanasoulas-Autonomy.html&lt;/url&gt;&lt;/related-urls&gt;&lt;/urls&gt;&lt;/record&gt;&lt;/Cite&gt;&lt;/EndNote&gt;</w:instrText>
      </w:r>
      <w:r w:rsidR="00F248C9">
        <w:fldChar w:fldCharType="separate"/>
      </w:r>
      <w:r w:rsidR="004E35A4">
        <w:t>(e.g. Little 2003; Scharle and Szabo 2000; Thanasoulas 2000)</w:t>
      </w:r>
      <w:r w:rsidR="00F248C9">
        <w:fldChar w:fldCharType="end"/>
      </w:r>
      <w:r>
        <w:t xml:space="preserve">. The </w:t>
      </w:r>
      <w:r w:rsidR="00DA3CD6">
        <w:t xml:space="preserve">VIA </w:t>
      </w:r>
      <w:r>
        <w:t xml:space="preserve">resource can be used flexibly in helping students plan and evaluate their use of visual and audio materials by raising questions such as: what purpose do the visual/audio materials fulfil? Do they comply with copyright legislation? </w:t>
      </w:r>
      <w:proofErr w:type="gramStart"/>
      <w:r w:rsidR="00DA3CD6">
        <w:t>VIA</w:t>
      </w:r>
      <w:r>
        <w:t xml:space="preserve"> also offers advice regarding implementation (image ratio, file size)</w:t>
      </w:r>
      <w:r w:rsidR="00CB11B9">
        <w:t>,</w:t>
      </w:r>
      <w:r>
        <w:t xml:space="preserve"> </w:t>
      </w:r>
      <w:r w:rsidR="00CB11B9">
        <w:t>al</w:t>
      </w:r>
      <w:r>
        <w:t xml:space="preserve">though this is secondary to the key purpose </w:t>
      </w:r>
      <w:r w:rsidR="00CB11B9">
        <w:t xml:space="preserve">which is to </w:t>
      </w:r>
      <w:r>
        <w:t>enabl</w:t>
      </w:r>
      <w:r w:rsidR="00CB11B9">
        <w:t>e</w:t>
      </w:r>
      <w:r>
        <w:t xml:space="preserve"> students to handle visual and audio materials correctly and confidently.</w:t>
      </w:r>
      <w:proofErr w:type="gramEnd"/>
      <w:r w:rsidR="0013048C">
        <w:t xml:space="preserve"> We envisage learning with </w:t>
      </w:r>
      <w:r w:rsidR="00DA3CD6">
        <w:t xml:space="preserve">VIA </w:t>
      </w:r>
      <w:r w:rsidR="0013048C">
        <w:t xml:space="preserve">to be a ‘constructive process that involves actively seeking meaning from (or even imposing meaning on) events'  </w:t>
      </w:r>
      <w:r w:rsidR="00F248C9">
        <w:fldChar w:fldCharType="begin"/>
      </w:r>
      <w:r w:rsidR="005579F1">
        <w:instrText xml:space="preserve"> ADDIN EN.CITE &lt;EndNote&gt;&lt;Cite&gt;&lt;Author&gt;Thanasoulas&lt;/Author&gt;&lt;Year&gt;2000&lt;/Year&gt;&lt;RecNum&gt;377&lt;/RecNum&gt;&lt;record&gt;&lt;rec-number&gt;377&lt;/rec-number&gt;&lt;ref-type name="Web Page"&gt;12&lt;/ref-type&gt;&lt;contributors&gt;&lt;authors&gt;&lt;author&gt;Thanasoulas, C. &lt;/author&gt;&lt;/authors&gt;&lt;/contributors&gt;&lt;titles&gt;&lt;title&gt;What is learner autonomy and how can it be fostered?&lt;/title&gt;&lt;secondary-title&gt; Internet TESL Journal&lt;/secondary-title&gt;&lt;/titles&gt;&lt;volume&gt;2006&lt;/volume&gt;&lt;number&gt;November&lt;/number&gt;&lt;keywords&gt;&lt;keyword&gt;autonomy&lt;/keyword&gt;&lt;keyword&gt;CETL PLA&lt;/keyword&gt;&lt;keyword&gt;pedagogy&lt;/keyword&gt;&lt;/keywords&gt;&lt;dates&gt;&lt;year&gt;2000&lt;/year&gt;&lt;/dates&gt;&lt;urls&gt;&lt;related-urls&gt;&lt;url&gt;http://iteslj.org/Articles/Thanasoulas-Autonomy.html&lt;/url&gt;&lt;/related-urls&gt;&lt;/urls&gt;&lt;/record&gt;&lt;/Cite&gt;&lt;/EndNote&gt;</w:instrText>
      </w:r>
      <w:r w:rsidR="00F248C9">
        <w:fldChar w:fldCharType="separate"/>
      </w:r>
      <w:r w:rsidR="0013048C">
        <w:t>(Thanasoulas 2000)</w:t>
      </w:r>
      <w:r w:rsidR="00F248C9">
        <w:fldChar w:fldCharType="end"/>
      </w:r>
      <w:r w:rsidR="00E340AF">
        <w:t>.</w:t>
      </w:r>
    </w:p>
    <w:p w:rsidR="00282701" w:rsidRPr="005078D2" w:rsidRDefault="00282701" w:rsidP="00282701">
      <w:pPr>
        <w:pStyle w:val="Heading3"/>
      </w:pPr>
      <w:r>
        <w:t>Intended benefit</w:t>
      </w:r>
    </w:p>
    <w:p w:rsidR="009B32A9" w:rsidRPr="009B32A9" w:rsidRDefault="009B32A9" w:rsidP="00C81DF1">
      <w:r w:rsidRPr="009B32A9">
        <w:t xml:space="preserve">The </w:t>
      </w:r>
      <w:r>
        <w:t xml:space="preserve">aim in designing the </w:t>
      </w:r>
      <w:r w:rsidR="00DA3CD6">
        <w:t>VIA</w:t>
      </w:r>
      <w:r w:rsidR="002562EA">
        <w:t xml:space="preserve"> </w:t>
      </w:r>
      <w:r w:rsidRPr="009B32A9">
        <w:t>resource</w:t>
      </w:r>
      <w:r>
        <w:t xml:space="preserve"> </w:t>
      </w:r>
      <w:r w:rsidR="00313718">
        <w:t>wa</w:t>
      </w:r>
      <w:r>
        <w:t xml:space="preserve">s to </w:t>
      </w:r>
      <w:r w:rsidR="00313718">
        <w:t>sup</w:t>
      </w:r>
      <w:r w:rsidR="00DA3CD6">
        <w:t>p</w:t>
      </w:r>
      <w:r w:rsidR="00313718">
        <w:t>ort</w:t>
      </w:r>
      <w:r>
        <w:t xml:space="preserve"> learner autonomy</w:t>
      </w:r>
      <w:r w:rsidR="002562EA">
        <w:t>, that is, self-direction and engagement in learning,</w:t>
      </w:r>
      <w:r>
        <w:t xml:space="preserve"> in relation to the </w:t>
      </w:r>
      <w:r w:rsidRPr="009B32A9">
        <w:t>use of visual and audio media</w:t>
      </w:r>
      <w:r w:rsidR="002562EA">
        <w:t xml:space="preserve"> in coursework – and beyond, in students’ professional lives</w:t>
      </w:r>
      <w:r>
        <w:t xml:space="preserve">. </w:t>
      </w:r>
      <w:proofErr w:type="gramStart"/>
      <w:r w:rsidR="002562EA">
        <w:t>Because its</w:t>
      </w:r>
      <w:r w:rsidR="00CB11B9">
        <w:t xml:space="preserve"> potential target</w:t>
      </w:r>
      <w:r w:rsidR="002562EA">
        <w:t xml:space="preserve"> audience</w:t>
      </w:r>
      <w:r w:rsidR="00C81DF1">
        <w:t xml:space="preserve"> </w:t>
      </w:r>
      <w:r w:rsidR="00CB11B9">
        <w:t>encompasses</w:t>
      </w:r>
      <w:r w:rsidR="002562EA">
        <w:t xml:space="preserve"> all SHU students, </w:t>
      </w:r>
      <w:r w:rsidR="00DA3CD6">
        <w:t>VIA</w:t>
      </w:r>
      <w:r w:rsidR="002562EA">
        <w:t xml:space="preserve"> can be considered </w:t>
      </w:r>
      <w:proofErr w:type="spellStart"/>
      <w:r w:rsidR="002562EA">
        <w:t>transdisciplinary</w:t>
      </w:r>
      <w:proofErr w:type="spellEnd"/>
      <w:r w:rsidR="002562EA">
        <w:t>.</w:t>
      </w:r>
      <w:proofErr w:type="gramEnd"/>
      <w:r w:rsidR="002562EA">
        <w:t xml:space="preserve"> It</w:t>
      </w:r>
      <w:r>
        <w:t xml:space="preserve"> was conceived </w:t>
      </w:r>
      <w:r w:rsidR="00CB11B9">
        <w:t>to be used by</w:t>
      </w:r>
      <w:r>
        <w:t xml:space="preserve"> students from all disciplines</w:t>
      </w:r>
      <w:r w:rsidR="00CB11B9">
        <w:t xml:space="preserve"> as well as</w:t>
      </w:r>
      <w:r w:rsidR="009A5A05">
        <w:t xml:space="preserve"> </w:t>
      </w:r>
      <w:r w:rsidR="00DA3CD6">
        <w:t>A</w:t>
      </w:r>
      <w:r>
        <w:t xml:space="preserve">dvisors in the Learning Centre or Student Support </w:t>
      </w:r>
      <w:r w:rsidR="00CB11B9">
        <w:t xml:space="preserve">in order </w:t>
      </w:r>
      <w:r>
        <w:t xml:space="preserve">to guide students needing help with the visual and audio aspect of coursework. We also envisage that lecturers will use it as a reference or as </w:t>
      </w:r>
      <w:r w:rsidR="00DA3CD6">
        <w:t xml:space="preserve">a </w:t>
      </w:r>
      <w:r>
        <w:t>teaching tool, while recognis</w:t>
      </w:r>
      <w:r w:rsidR="009B2405">
        <w:t>ing</w:t>
      </w:r>
      <w:r>
        <w:t xml:space="preserve"> that they may want to use additional materials to focus more specifically on the issues arising in some </w:t>
      </w:r>
      <w:r w:rsidR="00E340AF">
        <w:t>disciplines</w:t>
      </w:r>
      <w:r>
        <w:t xml:space="preserve"> (e.g. </w:t>
      </w:r>
      <w:r w:rsidR="00E340AF">
        <w:t xml:space="preserve">use of visual artefacts in the </w:t>
      </w:r>
      <w:r>
        <w:t xml:space="preserve">visual </w:t>
      </w:r>
      <w:r>
        <w:lastRenderedPageBreak/>
        <w:t>arts</w:t>
      </w:r>
      <w:r w:rsidR="00E340AF">
        <w:t xml:space="preserve"> or</w:t>
      </w:r>
      <w:r w:rsidR="002562EA">
        <w:t xml:space="preserve"> media</w:t>
      </w:r>
      <w:r w:rsidR="00E340AF">
        <w:t xml:space="preserve"> studies</w:t>
      </w:r>
      <w:r w:rsidR="002562EA">
        <w:t>,</w:t>
      </w:r>
      <w:r>
        <w:t xml:space="preserve"> </w:t>
      </w:r>
      <w:r w:rsidR="00E340AF">
        <w:t xml:space="preserve">visualisation of data in the sciences </w:t>
      </w:r>
      <w:r>
        <w:t>or business</w:t>
      </w:r>
      <w:r w:rsidR="00E340AF">
        <w:t xml:space="preserve"> studies</w:t>
      </w:r>
      <w:r>
        <w:t>).</w:t>
      </w:r>
      <w:r w:rsidR="004E35A4">
        <w:t xml:space="preserve"> The </w:t>
      </w:r>
      <w:r w:rsidR="00DA3CD6">
        <w:t>VIA</w:t>
      </w:r>
      <w:r w:rsidR="004E35A4">
        <w:t xml:space="preserve"> resource can be integrat</w:t>
      </w:r>
      <w:r w:rsidR="00302B67">
        <w:t>ed</w:t>
      </w:r>
      <w:r w:rsidR="004E35A4">
        <w:t xml:space="preserve"> in the design of autonomous learning experiences which neither let students flounder no</w:t>
      </w:r>
      <w:r w:rsidR="00653D03">
        <w:t>r</w:t>
      </w:r>
      <w:r w:rsidR="004E35A4">
        <w:t xml:space="preserve"> </w:t>
      </w:r>
      <w:r w:rsidR="00653D03">
        <w:t xml:space="preserve">attempt to </w:t>
      </w:r>
      <w:r w:rsidR="004E35A4">
        <w:t xml:space="preserve">guide them rigidly, but </w:t>
      </w:r>
      <w:r w:rsidR="00653D03">
        <w:t xml:space="preserve">instead </w:t>
      </w:r>
      <w:r w:rsidR="004E35A4">
        <w:t xml:space="preserve">‘allow them to struggle to construct a self in relation to a discipline or a profession’ </w:t>
      </w:r>
      <w:r w:rsidR="00F248C9">
        <w:fldChar w:fldCharType="begin"/>
      </w:r>
      <w:r w:rsidR="005579F1">
        <w:instrText xml:space="preserve"> ADDIN EN.CITE &lt;EndNote&gt;&lt;Cite&gt;&lt;Author&gt;Wilcox&lt;/Author&gt;&lt;Year&gt;1996&lt;/Year&gt;&lt;RecNum&gt;1277&lt;/RecNum&gt;&lt;Suffix&gt;:174&lt;/Suffix&gt;&lt;record&gt;&lt;rec-number&gt;1277&lt;/rec-number&gt;&lt;ref-type name="Journal Article"&gt;17&lt;/ref-type&gt;&lt;contributors&gt;&lt;authors&gt;&lt;author&gt;Wilcox, S.&lt;/author&gt;&lt;/authors&gt;&lt;/contributors&gt;&lt;titles&gt;&lt;title&gt;Fostering self-directed learning in the university setting&lt;/title&gt;&lt;secondary-title&gt;Studies in Higher Education&lt;/secondary-title&gt;&lt;/titles&gt;&lt;periodical&gt;&lt;full-title&gt;Studies in Higher Education&lt;/full-title&gt;&lt;/periodical&gt;&lt;pages&gt;165-176&lt;/pages&gt;&lt;volume&gt;21&lt;/volume&gt;&lt;number&gt;2&lt;/number&gt;&lt;keywords&gt;&lt;keyword&gt;CETL PLA&lt;/keyword&gt;&lt;keyword&gt;autonomy&lt;/keyword&gt;&lt;keyword&gt;self-directed learning&lt;/keyword&gt;&lt;keyword&gt;teacher&lt;/keyword&gt;&lt;keyword&gt;teaching presence&lt;/keyword&gt;&lt;keyword&gt;Higher education&lt;/keyword&gt;&lt;keyword&gt;educational research&lt;/keyword&gt;&lt;keyword&gt;adult learner&lt;/keyword&gt;&lt;/keywords&gt;&lt;dates&gt;&lt;year&gt;1996&lt;/year&gt;&lt;/dates&gt;&lt;urls&gt;&lt;/urls&gt;&lt;/record&gt;&lt;/Cite&gt;&lt;/EndNote&gt;</w:instrText>
      </w:r>
      <w:r w:rsidR="00F248C9">
        <w:fldChar w:fldCharType="separate"/>
      </w:r>
      <w:r w:rsidR="004E35A4">
        <w:t>(Wilcox 1996:174)</w:t>
      </w:r>
      <w:r w:rsidR="00F248C9">
        <w:fldChar w:fldCharType="end"/>
      </w:r>
      <w:r w:rsidR="004E35A4">
        <w:t>.</w:t>
      </w:r>
    </w:p>
    <w:p w:rsidR="00FF0CD3" w:rsidRDefault="00FF0CD3" w:rsidP="005078D2">
      <w:pPr>
        <w:pStyle w:val="Heading2"/>
      </w:pPr>
      <w:r w:rsidRPr="00E7068A">
        <w:t>Rationale</w:t>
      </w:r>
    </w:p>
    <w:p w:rsidR="009F1E52" w:rsidRPr="009F1E52" w:rsidRDefault="009F1E52" w:rsidP="009F1E52">
      <w:pPr>
        <w:pStyle w:val="Heading3"/>
      </w:pPr>
      <w:r>
        <w:t xml:space="preserve">Purpose and goal of the </w:t>
      </w:r>
      <w:r w:rsidR="008B7D86">
        <w:t xml:space="preserve">VIA </w:t>
      </w:r>
      <w:r>
        <w:t>project</w:t>
      </w:r>
    </w:p>
    <w:p w:rsidR="00282701" w:rsidRDefault="009F1E52" w:rsidP="00C81DF1">
      <w:r w:rsidRPr="005078D2">
        <w:t>The aim of the project is to develop student understanding and awareness of finding, critically evaluating</w:t>
      </w:r>
      <w:r w:rsidR="0013048C">
        <w:t>, selecting</w:t>
      </w:r>
      <w:r w:rsidRPr="005078D2">
        <w:t xml:space="preserve"> and reusing (in terms of legal compliance) video</w:t>
      </w:r>
      <w:r w:rsidR="00653D03">
        <w:t>s</w:t>
      </w:r>
      <w:r w:rsidRPr="005078D2">
        <w:t>, images and sound.</w:t>
      </w:r>
      <w:r w:rsidR="00282701" w:rsidRPr="00282701">
        <w:t xml:space="preserve"> </w:t>
      </w:r>
      <w:r w:rsidR="00282701">
        <w:t>We developed</w:t>
      </w:r>
      <w:r w:rsidR="00282701" w:rsidRPr="005078D2">
        <w:t xml:space="preserve"> </w:t>
      </w:r>
      <w:r w:rsidR="00DA3CD6">
        <w:t>VIA</w:t>
      </w:r>
      <w:r w:rsidR="008B7D86">
        <w:t xml:space="preserve"> </w:t>
      </w:r>
      <w:r w:rsidR="00282701" w:rsidRPr="005078D2">
        <w:t xml:space="preserve">to </w:t>
      </w:r>
      <w:r w:rsidR="00BF3559">
        <w:t xml:space="preserve">raise </w:t>
      </w:r>
      <w:r w:rsidR="00282701">
        <w:t>student aw</w:t>
      </w:r>
      <w:r w:rsidR="00282701" w:rsidRPr="005078D2">
        <w:t xml:space="preserve">areness </w:t>
      </w:r>
      <w:r w:rsidR="00282701">
        <w:t>of</w:t>
      </w:r>
      <w:r w:rsidR="00282701" w:rsidRPr="005078D2">
        <w:t xml:space="preserve"> the key skills which distinguish a 'media literate' student. </w:t>
      </w:r>
      <w:r w:rsidR="00A46B70">
        <w:t>We also wanted learners</w:t>
      </w:r>
      <w:r w:rsidR="008B7D86">
        <w:t xml:space="preserve"> to</w:t>
      </w:r>
      <w:r w:rsidR="00A46B70">
        <w:t xml:space="preserve"> </w:t>
      </w:r>
      <w:r w:rsidR="008F1BAE">
        <w:t>“</w:t>
      </w:r>
      <w:r w:rsidR="00A46B70">
        <w:t>develop a sense of responsibility and also, encourage learners to take an active part in making decisions about their learning</w:t>
      </w:r>
      <w:r w:rsidR="008F1BAE">
        <w:t>”</w:t>
      </w:r>
      <w:r w:rsidR="00A46B70">
        <w:t xml:space="preserve"> </w:t>
      </w:r>
      <w:r w:rsidR="00F248C9">
        <w:fldChar w:fldCharType="begin"/>
      </w:r>
      <w:r w:rsidR="005579F1">
        <w:instrText xml:space="preserve"> ADDIN EN.CITE &lt;EndNote&gt;&lt;Cite&gt;&lt;Author&gt;Scharle&lt;/Author&gt;&lt;Year&gt;2000&lt;/Year&gt;&lt;RecNum&gt;598&lt;/RecNum&gt;&lt;Suffix&gt;: 4&lt;/Suffix&gt;&lt;record&gt;&lt;rec-number&gt;598&lt;/rec-number&gt;&lt;ref-type name="Book"&gt;6&lt;/ref-type&gt;&lt;contributors&gt;&lt;authors&gt;&lt;author&gt;Scharle, A.&lt;/author&gt;&lt;author&gt;Szabo, A.&lt;/author&gt;&lt;/authors&gt;&lt;/contributors&gt;&lt;titles&gt;&lt;title&gt;Learner Autonomy: a Guide to Developing Learner Responsibility&lt;/title&gt;&lt;/titles&gt;&lt;keywords&gt;&lt;keyword&gt;CETL PLA&lt;/keyword&gt;&lt;keyword&gt;autonomy&lt;/keyword&gt;&lt;keyword&gt;student&lt;/keyword&gt;&lt;keyword&gt;negotiation&lt;/keyword&gt;&lt;keyword&gt;learning style&lt;/keyword&gt;&lt;/keywords&gt;&lt;dates&gt;&lt;year&gt;2000&lt;/year&gt;&lt;/dates&gt;&lt;pub-location&gt;Cambridge&lt;/pub-location&gt;&lt;publisher&gt;Cambridge University Press&lt;/publisher&gt;&lt;isbn&gt;9780521775342&lt;/isbn&gt;&lt;urls&gt;&lt;/urls&gt;&lt;/record&gt;&lt;/Cite&gt;&lt;/EndNote&gt;</w:instrText>
      </w:r>
      <w:r w:rsidR="00F248C9">
        <w:fldChar w:fldCharType="separate"/>
      </w:r>
      <w:r w:rsidR="00A46B70">
        <w:t>(Scharle and Szabo 2000: 4)</w:t>
      </w:r>
      <w:r w:rsidR="00F248C9">
        <w:fldChar w:fldCharType="end"/>
      </w:r>
      <w:r w:rsidR="00653D03">
        <w:t>, which here relates</w:t>
      </w:r>
      <w:r w:rsidR="00A46B70">
        <w:t xml:space="preserve"> to the use of audio and visual</w:t>
      </w:r>
      <w:r w:rsidR="00C81DF1">
        <w:t xml:space="preserve"> </w:t>
      </w:r>
      <w:r w:rsidR="008E34BA">
        <w:t>material.</w:t>
      </w:r>
    </w:p>
    <w:p w:rsidR="0013048C" w:rsidRDefault="002D30CF" w:rsidP="00BF3559">
      <w:r w:rsidRPr="00504F5F">
        <w:t>Our research question was</w:t>
      </w:r>
      <w:r>
        <w:t xml:space="preserve">: does the </w:t>
      </w:r>
      <w:r w:rsidR="00DA3CD6">
        <w:t>VIA</w:t>
      </w:r>
      <w:r>
        <w:t xml:space="preserve"> resource address student needs? And secondarily: what could we do to improve it, based on student feedback? W</w:t>
      </w:r>
      <w:r w:rsidR="00A46B70">
        <w:t xml:space="preserve">e tested the </w:t>
      </w:r>
      <w:r w:rsidR="00DA3CD6">
        <w:t>VIA</w:t>
      </w:r>
      <w:r w:rsidR="00A46B70">
        <w:t xml:space="preserve"> resource with three groups of people:</w:t>
      </w:r>
    </w:p>
    <w:p w:rsidR="00302B67" w:rsidRDefault="00055220" w:rsidP="00302B67">
      <w:pPr>
        <w:numPr>
          <w:ilvl w:val="0"/>
          <w:numId w:val="5"/>
        </w:numPr>
      </w:pPr>
      <w:r>
        <w:t>undergraduates selected randomly for a focus group</w:t>
      </w:r>
      <w:r w:rsidR="00653D03">
        <w:t>;</w:t>
      </w:r>
    </w:p>
    <w:p w:rsidR="00055220" w:rsidRDefault="00055220" w:rsidP="00302B67">
      <w:pPr>
        <w:numPr>
          <w:ilvl w:val="0"/>
          <w:numId w:val="5"/>
        </w:numPr>
      </w:pPr>
      <w:r>
        <w:t xml:space="preserve"> a specific group of postgraduate </w:t>
      </w:r>
      <w:proofErr w:type="spellStart"/>
      <w:r>
        <w:t>e</w:t>
      </w:r>
      <w:r>
        <w:noBreakHyphen/>
        <w:t>learners</w:t>
      </w:r>
      <w:proofErr w:type="spellEnd"/>
      <w:r>
        <w:t xml:space="preserve"> taking a Visual Communication module</w:t>
      </w:r>
      <w:r w:rsidR="00653D03">
        <w:t>; and</w:t>
      </w:r>
    </w:p>
    <w:p w:rsidR="00A46B70" w:rsidRDefault="008B7D86" w:rsidP="00A46B70">
      <w:pPr>
        <w:numPr>
          <w:ilvl w:val="0"/>
          <w:numId w:val="5"/>
        </w:numPr>
      </w:pPr>
      <w:r>
        <w:t>I</w:t>
      </w:r>
      <w:r w:rsidR="00A46B70">
        <w:t xml:space="preserve">nformation </w:t>
      </w:r>
      <w:r>
        <w:t>A</w:t>
      </w:r>
      <w:r w:rsidR="00A46B70">
        <w:t>dvisers in the Learning Centre</w:t>
      </w:r>
      <w:r w:rsidR="00055220">
        <w:t>.</w:t>
      </w:r>
    </w:p>
    <w:p w:rsidR="008E34BA" w:rsidRPr="008E34BA" w:rsidRDefault="002D30CF" w:rsidP="00C81DF1">
      <w:pPr>
        <w:pStyle w:val="CommentText"/>
        <w:rPr>
          <w:sz w:val="22"/>
          <w:szCs w:val="22"/>
          <w:u w:val="single"/>
        </w:rPr>
      </w:pPr>
      <w:r w:rsidRPr="008E34BA">
        <w:rPr>
          <w:sz w:val="22"/>
          <w:szCs w:val="22"/>
        </w:rPr>
        <w:t>Resource limitations meant that, regrettably, we could not involve academic staff</w:t>
      </w:r>
      <w:r w:rsidR="008A20B6" w:rsidRPr="008E34BA">
        <w:rPr>
          <w:sz w:val="22"/>
          <w:szCs w:val="22"/>
        </w:rPr>
        <w:t xml:space="preserve"> in the study</w:t>
      </w:r>
      <w:r w:rsidRPr="008E34BA">
        <w:rPr>
          <w:sz w:val="22"/>
          <w:szCs w:val="22"/>
        </w:rPr>
        <w:t>.</w:t>
      </w:r>
      <w:r w:rsidR="008E34BA" w:rsidRPr="008E34BA">
        <w:rPr>
          <w:sz w:val="22"/>
          <w:szCs w:val="22"/>
        </w:rPr>
        <w:t xml:space="preserve"> In any case the focus of the study was on students' digital/visual </w:t>
      </w:r>
      <w:proofErr w:type="spellStart"/>
      <w:r w:rsidR="008E34BA" w:rsidRPr="008E34BA">
        <w:rPr>
          <w:sz w:val="22"/>
          <w:szCs w:val="22"/>
        </w:rPr>
        <w:t>literacies</w:t>
      </w:r>
      <w:proofErr w:type="spellEnd"/>
      <w:r w:rsidR="008E34BA" w:rsidRPr="008E34BA">
        <w:rPr>
          <w:sz w:val="22"/>
          <w:szCs w:val="22"/>
        </w:rPr>
        <w:t xml:space="preserve"> and involved first and foremost a mapping of what these might be. A second phase of the project would be to conduct a multi-case study about the VIA resource in teaching; this </w:t>
      </w:r>
      <w:proofErr w:type="gramStart"/>
      <w:r w:rsidR="008E34BA" w:rsidRPr="008E34BA">
        <w:rPr>
          <w:sz w:val="22"/>
          <w:szCs w:val="22"/>
        </w:rPr>
        <w:t>would  develop</w:t>
      </w:r>
      <w:proofErr w:type="gramEnd"/>
      <w:r w:rsidR="008E34BA" w:rsidRPr="008E34BA">
        <w:rPr>
          <w:sz w:val="22"/>
          <w:szCs w:val="22"/>
        </w:rPr>
        <w:t xml:space="preserve"> the initial case study presented here</w:t>
      </w:r>
      <w:r w:rsidR="009A5A05">
        <w:rPr>
          <w:sz w:val="22"/>
          <w:szCs w:val="22"/>
        </w:rPr>
        <w:t>.</w:t>
      </w:r>
      <w:r w:rsidR="008E34BA" w:rsidRPr="008E34BA">
        <w:rPr>
          <w:sz w:val="22"/>
          <w:szCs w:val="22"/>
        </w:rPr>
        <w:t xml:space="preserve"> </w:t>
      </w:r>
    </w:p>
    <w:p w:rsidR="002D30CF" w:rsidRPr="005078D2" w:rsidRDefault="002D30CF" w:rsidP="002D30CF"/>
    <w:p w:rsidR="009F1E52" w:rsidRPr="00771B49" w:rsidRDefault="009F1E52" w:rsidP="009F1E52">
      <w:pPr>
        <w:pStyle w:val="Heading3"/>
      </w:pPr>
      <w:r>
        <w:t xml:space="preserve">The </w:t>
      </w:r>
      <w:r w:rsidR="008F1BAE">
        <w:t>VIA</w:t>
      </w:r>
      <w:r>
        <w:t xml:space="preserve"> concept</w:t>
      </w:r>
    </w:p>
    <w:p w:rsidR="00DB2248" w:rsidRDefault="00313718" w:rsidP="00653D03">
      <w:r>
        <w:t>At the outset we agreed to utilise g</w:t>
      </w:r>
      <w:r w:rsidRPr="005078D2">
        <w:t>ood quality resources which already exist. Several excellent tools have been developed by authoritative bodies like the JISC and Digital Media (formally TASI)</w:t>
      </w:r>
      <w:r>
        <w:t>.</w:t>
      </w:r>
      <w:r w:rsidRPr="005078D2">
        <w:t xml:space="preserve"> There seemed little point in reinventing the wheel, </w:t>
      </w:r>
      <w:r w:rsidR="00653D03">
        <w:t xml:space="preserve">and felt that it was </w:t>
      </w:r>
      <w:r w:rsidRPr="005078D2">
        <w:t xml:space="preserve">far better to capitalise on appropriate materials which have been developed with more resources and expertise than were available to us. </w:t>
      </w:r>
      <w:r w:rsidR="00653D03">
        <w:t>We used our</w:t>
      </w:r>
      <w:r w:rsidR="00653D03" w:rsidRPr="005078D2">
        <w:t xml:space="preserve"> </w:t>
      </w:r>
      <w:r w:rsidRPr="005078D2">
        <w:t xml:space="preserve">expertise to </w:t>
      </w:r>
      <w:r w:rsidR="003A0E34">
        <w:t xml:space="preserve">link to these resources at appropriate </w:t>
      </w:r>
      <w:proofErr w:type="gramStart"/>
      <w:r w:rsidR="003A0E34">
        <w:t xml:space="preserve">stages </w:t>
      </w:r>
      <w:r>
        <w:t xml:space="preserve"> </w:t>
      </w:r>
      <w:r w:rsidRPr="005078D2">
        <w:t>and</w:t>
      </w:r>
      <w:proofErr w:type="gramEnd"/>
      <w:r w:rsidRPr="005078D2">
        <w:t xml:space="preserve"> tailor </w:t>
      </w:r>
      <w:r>
        <w:t xml:space="preserve">them into a unique package to address </w:t>
      </w:r>
      <w:r w:rsidRPr="005078D2">
        <w:t xml:space="preserve">the </w:t>
      </w:r>
      <w:r>
        <w:t xml:space="preserve">specific </w:t>
      </w:r>
      <w:r w:rsidRPr="005078D2">
        <w:t>needs of SHU students</w:t>
      </w:r>
      <w:r>
        <w:t>, particularly though not exclusively those of undergraduates</w:t>
      </w:r>
      <w:r w:rsidRPr="005078D2">
        <w:t xml:space="preserve">. </w:t>
      </w:r>
      <w:r w:rsidR="00282701" w:rsidRPr="005078D2">
        <w:t xml:space="preserve">Given the nature of the resource </w:t>
      </w:r>
      <w:r>
        <w:t>we decided to</w:t>
      </w:r>
      <w:r w:rsidR="00282701" w:rsidRPr="005078D2">
        <w:t xml:space="preserve"> present </w:t>
      </w:r>
      <w:r w:rsidR="00DA3CD6">
        <w:t>VIA</w:t>
      </w:r>
      <w:r w:rsidR="00282701" w:rsidRPr="005078D2">
        <w:t xml:space="preserve"> in a visual way, adopting a comic book style rather than using blocks of text.</w:t>
      </w:r>
    </w:p>
    <w:p w:rsidR="00DB2248" w:rsidRDefault="00DB2248" w:rsidP="00DB2248">
      <w:pPr>
        <w:pStyle w:val="Caption"/>
      </w:pPr>
      <w:r>
        <w:t xml:space="preserve">Figure </w:t>
      </w:r>
      <w:r w:rsidR="00F248C9">
        <w:fldChar w:fldCharType="begin"/>
      </w:r>
      <w:r>
        <w:instrText xml:space="preserve"> SEQ Figure \* ARABIC </w:instrText>
      </w:r>
      <w:r w:rsidR="00F248C9">
        <w:fldChar w:fldCharType="separate"/>
      </w:r>
      <w:r w:rsidR="008B25B9">
        <w:rPr>
          <w:noProof/>
        </w:rPr>
        <w:t>1</w:t>
      </w:r>
      <w:r w:rsidR="00F248C9">
        <w:fldChar w:fldCharType="end"/>
      </w:r>
      <w:r>
        <w:t>: sample page from the Click resource</w:t>
      </w:r>
    </w:p>
    <w:p w:rsidR="0013048C" w:rsidRPr="005078D2" w:rsidRDefault="008B25B9" w:rsidP="0062182A">
      <w:r>
        <w:rPr>
          <w:noProof/>
        </w:rPr>
        <w:lastRenderedPageBreak/>
        <w:drawing>
          <wp:inline distT="0" distB="0" distL="0" distR="0">
            <wp:extent cx="5715000" cy="2400300"/>
            <wp:effectExtent l="1905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7" cstate="print"/>
                    <a:srcRect/>
                    <a:stretch>
                      <a:fillRect/>
                    </a:stretch>
                  </pic:blipFill>
                  <pic:spPr bwMode="auto">
                    <a:xfrm>
                      <a:off x="0" y="0"/>
                      <a:ext cx="5715000" cy="2400300"/>
                    </a:xfrm>
                    <a:prstGeom prst="rect">
                      <a:avLst/>
                    </a:prstGeom>
                    <a:noFill/>
                    <a:ln w="9525">
                      <a:noFill/>
                      <a:miter lim="800000"/>
                      <a:headEnd/>
                      <a:tailEnd/>
                    </a:ln>
                  </pic:spPr>
                </pic:pic>
              </a:graphicData>
            </a:graphic>
          </wp:inline>
        </w:drawing>
      </w:r>
    </w:p>
    <w:p w:rsidR="00FF0CD3" w:rsidRPr="005078D2" w:rsidRDefault="00F230F8" w:rsidP="005078D2">
      <w:r>
        <w:t>We used e</w:t>
      </w:r>
      <w:r w:rsidR="00FF0CD3" w:rsidRPr="005078D2">
        <w:t xml:space="preserve">xamples of external sources of video, sound and images materials which have good provenance and have appropriate rights cleared. </w:t>
      </w:r>
      <w:r w:rsidR="002D30CF">
        <w:t xml:space="preserve">Original materials </w:t>
      </w:r>
      <w:r w:rsidR="00DB2248">
        <w:t>were</w:t>
      </w:r>
      <w:r w:rsidR="002D30CF">
        <w:t xml:space="preserve"> also </w:t>
      </w:r>
      <w:r w:rsidR="00DB2248">
        <w:t>designed</w:t>
      </w:r>
      <w:r w:rsidR="002D30CF">
        <w:t xml:space="preserve">. </w:t>
      </w:r>
      <w:r w:rsidR="00DB2248">
        <w:t>For maximum flexibility, we used Po</w:t>
      </w:r>
      <w:r w:rsidR="00FF0CD3" w:rsidRPr="005078D2">
        <w:t>wer</w:t>
      </w:r>
      <w:r w:rsidR="00DB2248">
        <w:t>P</w:t>
      </w:r>
      <w:r w:rsidR="00FF0CD3" w:rsidRPr="005078D2">
        <w:t>oint</w:t>
      </w:r>
      <w:r w:rsidR="00DB2248">
        <w:t>, so that the final product can be printed or consulted electronically as a PDF file.</w:t>
      </w:r>
    </w:p>
    <w:p w:rsidR="00F44998" w:rsidRDefault="00F44998" w:rsidP="005078D2">
      <w:pPr>
        <w:pStyle w:val="Heading2"/>
      </w:pPr>
      <w:r>
        <w:t>Evaluation a</w:t>
      </w:r>
      <w:r w:rsidRPr="00E7068A">
        <w:t>pproach</w:t>
      </w:r>
    </w:p>
    <w:p w:rsidR="003A1FD2" w:rsidRDefault="00771B49" w:rsidP="005078D2">
      <w:r>
        <w:t xml:space="preserve">The evaluation was located in the interpretive paradigm, and took the form of a case study using a hybrid approach to data collection, to ensure optimal validity. </w:t>
      </w:r>
      <w:r w:rsidR="003A1FD2" w:rsidRPr="003E6A64">
        <w:t xml:space="preserve">The aim for deploying a mixed-method strategy was essentially </w:t>
      </w:r>
      <w:r w:rsidR="003A1FD2">
        <w:t>‘</w:t>
      </w:r>
      <w:proofErr w:type="spellStart"/>
      <w:r w:rsidR="003A1FD2" w:rsidRPr="003E6A64">
        <w:t>complementarity</w:t>
      </w:r>
      <w:proofErr w:type="spellEnd"/>
      <w:r w:rsidR="003A1FD2" w:rsidRPr="003E6A64">
        <w:t>, or examining overlapping and different facets of a phenomenon</w:t>
      </w:r>
      <w:r w:rsidR="003A1FD2">
        <w:t>’</w:t>
      </w:r>
      <w:r w:rsidR="003A1FD2" w:rsidRPr="003E6A64">
        <w:t xml:space="preserve"> </w:t>
      </w:r>
      <w:r w:rsidR="00F248C9" w:rsidRPr="003E6A64">
        <w:fldChar w:fldCharType="begin"/>
      </w:r>
      <w:r w:rsidR="005579F1">
        <w:instrText xml:space="preserve"> ADDIN EN.CITE &lt;EndNote&gt;&lt;Cite&gt;&lt;Author&gt;Tashakkori&lt;/Author&gt;&lt;Year&gt;1998&lt;/Year&gt;&lt;RecNum&gt;826&lt;/RecNum&gt;&lt;Suffix&gt;:43&lt;/Suffix&gt;&lt;record&gt;&lt;rec-number&gt;826&lt;/rec-number&gt;&lt;ref-type name="Book"&gt;6&lt;/ref-type&gt;&lt;contributors&gt;&lt;authors&gt;&lt;author&gt;Tashakkori, A.&lt;/author&gt;&lt;author&gt;Teddlie, C. &lt;/author&gt;&lt;/authors&gt;&lt;/contributors&gt;&lt;titles&gt;&lt;title&gt;Mixed Methodology: Combining Qualitative and Quantitative Approaches&lt;/title&gt;&lt;secondary-title&gt;Applied Social Research Methods Series, 46&lt;/secondary-title&gt;&lt;/titles&gt;&lt;keywords&gt;&lt;keyword&gt;mixed methods&lt;/keyword&gt;&lt;keyword&gt;qualitative research&lt;/keyword&gt;&lt;keyword&gt;quantitative research&lt;/keyword&gt;&lt;keyword&gt;CETL PLA&lt;/keyword&gt;&lt;/keywords&gt;&lt;dates&gt;&lt;year&gt;1998&lt;/year&gt;&lt;/dates&gt;&lt;pub-location&gt;London&lt;/pub-location&gt;&lt;publisher&gt;Sage&lt;/publisher&gt;&lt;urls&gt;&lt;/urls&gt;&lt;/record&gt;&lt;/Cite&gt;&lt;/EndNote&gt;</w:instrText>
      </w:r>
      <w:r w:rsidR="00F248C9" w:rsidRPr="003E6A64">
        <w:fldChar w:fldCharType="separate"/>
      </w:r>
      <w:r w:rsidR="003A1FD2">
        <w:t>(Tashakkori and Teddlie 1998:43)</w:t>
      </w:r>
      <w:r w:rsidR="00F248C9" w:rsidRPr="003E6A64">
        <w:fldChar w:fldCharType="end"/>
      </w:r>
      <w:r w:rsidR="003A1FD2" w:rsidRPr="003E6A64">
        <w:t>.</w:t>
      </w:r>
    </w:p>
    <w:p w:rsidR="00F44998" w:rsidRDefault="00C92FA8" w:rsidP="005078D2">
      <w:pPr>
        <w:pStyle w:val="Heading3"/>
      </w:pPr>
      <w:r>
        <w:t xml:space="preserve">Undergraduate focus groups </w:t>
      </w:r>
      <w:r w:rsidR="000E6195">
        <w:t>(in two phases)</w:t>
      </w:r>
    </w:p>
    <w:p w:rsidR="00C92FA8" w:rsidRPr="005078D2" w:rsidRDefault="00C92FA8" w:rsidP="005078D2">
      <w:r w:rsidRPr="005078D2">
        <w:t>Ten students volunteered to participate in the evaluation</w:t>
      </w:r>
      <w:r w:rsidR="00C119FB">
        <w:t>.</w:t>
      </w:r>
      <w:r w:rsidRPr="005078D2">
        <w:t xml:space="preserve"> The group covered a range of disciplines and levels of study, as shown in the table below.</w:t>
      </w:r>
    </w:p>
    <w:p w:rsidR="00C92FA8" w:rsidRDefault="00C92FA8" w:rsidP="000E6195">
      <w:pPr>
        <w:pStyle w:val="Caption"/>
        <w:rPr>
          <w:szCs w:val="22"/>
        </w:rPr>
      </w:pPr>
      <w:r>
        <w:t xml:space="preserve">Table </w:t>
      </w:r>
      <w:r w:rsidR="00F248C9">
        <w:fldChar w:fldCharType="begin"/>
      </w:r>
      <w:r w:rsidR="00631B9E">
        <w:instrText xml:space="preserve"> SEQ Table \* ARABIC </w:instrText>
      </w:r>
      <w:r w:rsidR="00F248C9">
        <w:fldChar w:fldCharType="separate"/>
      </w:r>
      <w:r w:rsidR="008B25B9">
        <w:rPr>
          <w:noProof/>
        </w:rPr>
        <w:t>1</w:t>
      </w:r>
      <w:r w:rsidR="00F248C9">
        <w:fldChar w:fldCharType="end"/>
      </w:r>
      <w:r>
        <w:t>: composition of the undergraduate focus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843"/>
        <w:gridCol w:w="2126"/>
      </w:tblGrid>
      <w:tr w:rsidR="00C64C5B" w:rsidRPr="00C64C5B" w:rsidTr="00C64C5B">
        <w:trPr>
          <w:cantSplit/>
          <w:tblHeader/>
        </w:trPr>
        <w:tc>
          <w:tcPr>
            <w:tcW w:w="5103" w:type="dxa"/>
          </w:tcPr>
          <w:p w:rsidR="00C64C5B" w:rsidRPr="00C64C5B" w:rsidRDefault="00C64C5B" w:rsidP="006D1F84">
            <w:pPr>
              <w:spacing w:before="60" w:after="60"/>
              <w:rPr>
                <w:i/>
                <w:sz w:val="20"/>
                <w:szCs w:val="20"/>
              </w:rPr>
            </w:pPr>
            <w:r w:rsidRPr="00C64C5B">
              <w:rPr>
                <w:i/>
                <w:sz w:val="20"/>
                <w:szCs w:val="20"/>
              </w:rPr>
              <w:t>Course</w:t>
            </w:r>
          </w:p>
        </w:tc>
        <w:tc>
          <w:tcPr>
            <w:tcW w:w="1843" w:type="dxa"/>
          </w:tcPr>
          <w:p w:rsidR="00C64C5B" w:rsidRPr="00C64C5B" w:rsidRDefault="00C64C5B" w:rsidP="006D1F84">
            <w:pPr>
              <w:spacing w:before="60" w:after="60"/>
              <w:rPr>
                <w:i/>
                <w:sz w:val="20"/>
                <w:szCs w:val="20"/>
              </w:rPr>
            </w:pPr>
            <w:r w:rsidRPr="00C64C5B">
              <w:rPr>
                <w:i/>
                <w:sz w:val="20"/>
                <w:szCs w:val="20"/>
              </w:rPr>
              <w:t>Year</w:t>
            </w:r>
          </w:p>
        </w:tc>
        <w:tc>
          <w:tcPr>
            <w:tcW w:w="2126" w:type="dxa"/>
          </w:tcPr>
          <w:p w:rsidR="00C64C5B" w:rsidRPr="00C64C5B" w:rsidRDefault="00C64C5B" w:rsidP="006D1F84">
            <w:pPr>
              <w:spacing w:before="60" w:after="60"/>
              <w:rPr>
                <w:i/>
                <w:sz w:val="20"/>
                <w:szCs w:val="20"/>
              </w:rPr>
            </w:pPr>
            <w:r w:rsidRPr="00C64C5B">
              <w:rPr>
                <w:i/>
                <w:sz w:val="20"/>
                <w:szCs w:val="20"/>
              </w:rPr>
              <w:t>No. of students</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 xml:space="preserve">BA </w:t>
            </w:r>
            <w:proofErr w:type="spellStart"/>
            <w:r w:rsidRPr="00C64C5B">
              <w:rPr>
                <w:sz w:val="20"/>
                <w:szCs w:val="20"/>
              </w:rPr>
              <w:t>Hons</w:t>
            </w:r>
            <w:proofErr w:type="spellEnd"/>
            <w:r w:rsidRPr="00C64C5B">
              <w:rPr>
                <w:sz w:val="20"/>
                <w:szCs w:val="20"/>
              </w:rPr>
              <w:t xml:space="preserve"> Planning Studies</w:t>
            </w:r>
          </w:p>
        </w:tc>
        <w:tc>
          <w:tcPr>
            <w:tcW w:w="1843" w:type="dxa"/>
          </w:tcPr>
          <w:p w:rsidR="00C64C5B" w:rsidRPr="00C64C5B" w:rsidRDefault="00C64C5B" w:rsidP="006D1F84">
            <w:pPr>
              <w:spacing w:before="60" w:after="60"/>
              <w:rPr>
                <w:sz w:val="20"/>
                <w:szCs w:val="20"/>
              </w:rPr>
            </w:pPr>
            <w:r w:rsidRPr="00C64C5B">
              <w:rPr>
                <w:sz w:val="20"/>
                <w:szCs w:val="20"/>
              </w:rPr>
              <w:t>2</w:t>
            </w:r>
          </w:p>
        </w:tc>
        <w:tc>
          <w:tcPr>
            <w:tcW w:w="2126" w:type="dxa"/>
          </w:tcPr>
          <w:p w:rsidR="00C64C5B" w:rsidRPr="00C64C5B" w:rsidRDefault="00C64C5B" w:rsidP="006D1F84">
            <w:pPr>
              <w:spacing w:before="60" w:after="60"/>
              <w:rPr>
                <w:sz w:val="20"/>
                <w:szCs w:val="20"/>
              </w:rPr>
            </w:pPr>
            <w:r w:rsidRPr="00C64C5B">
              <w:rPr>
                <w:sz w:val="20"/>
                <w:szCs w:val="20"/>
              </w:rPr>
              <w:t>4</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BSc Business Modelling and Management</w:t>
            </w:r>
          </w:p>
        </w:tc>
        <w:tc>
          <w:tcPr>
            <w:tcW w:w="1843" w:type="dxa"/>
          </w:tcPr>
          <w:p w:rsidR="00C64C5B" w:rsidRPr="00C64C5B" w:rsidRDefault="00C64C5B" w:rsidP="006D1F84">
            <w:pPr>
              <w:spacing w:before="60" w:after="60"/>
              <w:rPr>
                <w:sz w:val="20"/>
                <w:szCs w:val="20"/>
              </w:rPr>
            </w:pPr>
            <w:r w:rsidRPr="00C64C5B">
              <w:rPr>
                <w:sz w:val="20"/>
                <w:szCs w:val="20"/>
              </w:rPr>
              <w:t>4</w:t>
            </w:r>
          </w:p>
        </w:tc>
        <w:tc>
          <w:tcPr>
            <w:tcW w:w="2126" w:type="dxa"/>
          </w:tcPr>
          <w:p w:rsidR="00C64C5B" w:rsidRPr="00C64C5B" w:rsidRDefault="00C64C5B" w:rsidP="006D1F84">
            <w:pPr>
              <w:spacing w:before="60" w:after="60"/>
              <w:rPr>
                <w:sz w:val="20"/>
                <w:szCs w:val="20"/>
              </w:rPr>
            </w:pPr>
            <w:r w:rsidRPr="00C64C5B">
              <w:rPr>
                <w:sz w:val="20"/>
                <w:szCs w:val="20"/>
              </w:rPr>
              <w:t>1</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BSc Business and ICT</w:t>
            </w:r>
          </w:p>
        </w:tc>
        <w:tc>
          <w:tcPr>
            <w:tcW w:w="1843" w:type="dxa"/>
          </w:tcPr>
          <w:p w:rsidR="00C64C5B" w:rsidRPr="00C64C5B" w:rsidRDefault="00C64C5B" w:rsidP="006D1F84">
            <w:pPr>
              <w:spacing w:before="60" w:after="60"/>
              <w:rPr>
                <w:sz w:val="20"/>
                <w:szCs w:val="20"/>
              </w:rPr>
            </w:pPr>
            <w:r w:rsidRPr="00C64C5B">
              <w:rPr>
                <w:sz w:val="20"/>
                <w:szCs w:val="20"/>
              </w:rPr>
              <w:t>1</w:t>
            </w:r>
          </w:p>
        </w:tc>
        <w:tc>
          <w:tcPr>
            <w:tcW w:w="2126" w:type="dxa"/>
          </w:tcPr>
          <w:p w:rsidR="00C64C5B" w:rsidRPr="00C64C5B" w:rsidRDefault="00C64C5B" w:rsidP="006D1F84">
            <w:pPr>
              <w:spacing w:before="60" w:after="60"/>
              <w:rPr>
                <w:sz w:val="20"/>
                <w:szCs w:val="20"/>
              </w:rPr>
            </w:pPr>
            <w:r w:rsidRPr="00C64C5B">
              <w:rPr>
                <w:sz w:val="20"/>
                <w:szCs w:val="20"/>
              </w:rPr>
              <w:t>1</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BSc IT Management</w:t>
            </w:r>
          </w:p>
        </w:tc>
        <w:tc>
          <w:tcPr>
            <w:tcW w:w="1843" w:type="dxa"/>
          </w:tcPr>
          <w:p w:rsidR="00C64C5B" w:rsidRPr="00C64C5B" w:rsidRDefault="00C64C5B" w:rsidP="006D1F84">
            <w:pPr>
              <w:spacing w:before="60" w:after="60"/>
              <w:rPr>
                <w:sz w:val="20"/>
                <w:szCs w:val="20"/>
              </w:rPr>
            </w:pPr>
            <w:r w:rsidRPr="00C64C5B">
              <w:rPr>
                <w:sz w:val="20"/>
                <w:szCs w:val="20"/>
              </w:rPr>
              <w:t>1</w:t>
            </w:r>
          </w:p>
        </w:tc>
        <w:tc>
          <w:tcPr>
            <w:tcW w:w="2126" w:type="dxa"/>
          </w:tcPr>
          <w:p w:rsidR="00C64C5B" w:rsidRPr="00C64C5B" w:rsidRDefault="00C64C5B" w:rsidP="006D1F84">
            <w:pPr>
              <w:spacing w:before="60" w:after="60"/>
              <w:rPr>
                <w:sz w:val="20"/>
                <w:szCs w:val="20"/>
              </w:rPr>
            </w:pPr>
            <w:r w:rsidRPr="00C64C5B">
              <w:rPr>
                <w:sz w:val="20"/>
                <w:szCs w:val="20"/>
              </w:rPr>
              <w:t>1</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BA Business and HRM</w:t>
            </w:r>
          </w:p>
        </w:tc>
        <w:tc>
          <w:tcPr>
            <w:tcW w:w="1843" w:type="dxa"/>
          </w:tcPr>
          <w:p w:rsidR="00C64C5B" w:rsidRPr="00C64C5B" w:rsidRDefault="00C64C5B" w:rsidP="006D1F84">
            <w:pPr>
              <w:spacing w:before="60" w:after="60"/>
              <w:rPr>
                <w:sz w:val="20"/>
                <w:szCs w:val="20"/>
              </w:rPr>
            </w:pPr>
            <w:r w:rsidRPr="00C64C5B">
              <w:rPr>
                <w:sz w:val="20"/>
                <w:szCs w:val="20"/>
              </w:rPr>
              <w:t>4</w:t>
            </w:r>
          </w:p>
        </w:tc>
        <w:tc>
          <w:tcPr>
            <w:tcW w:w="2126" w:type="dxa"/>
          </w:tcPr>
          <w:p w:rsidR="00C64C5B" w:rsidRPr="00C64C5B" w:rsidRDefault="00C64C5B" w:rsidP="006D1F84">
            <w:pPr>
              <w:spacing w:before="60" w:after="60"/>
              <w:rPr>
                <w:sz w:val="20"/>
                <w:szCs w:val="20"/>
              </w:rPr>
            </w:pPr>
            <w:r w:rsidRPr="00C64C5B">
              <w:rPr>
                <w:sz w:val="20"/>
                <w:szCs w:val="20"/>
              </w:rPr>
              <w:t>1</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MSc IT</w:t>
            </w:r>
          </w:p>
        </w:tc>
        <w:tc>
          <w:tcPr>
            <w:tcW w:w="1843" w:type="dxa"/>
          </w:tcPr>
          <w:p w:rsidR="00C64C5B" w:rsidRPr="00C64C5B" w:rsidRDefault="00C64C5B" w:rsidP="006D1F84">
            <w:pPr>
              <w:spacing w:before="60" w:after="60"/>
              <w:rPr>
                <w:sz w:val="20"/>
                <w:szCs w:val="20"/>
              </w:rPr>
            </w:pPr>
            <w:r w:rsidRPr="00C64C5B">
              <w:rPr>
                <w:sz w:val="20"/>
                <w:szCs w:val="20"/>
              </w:rPr>
              <w:t>1</w:t>
            </w:r>
          </w:p>
        </w:tc>
        <w:tc>
          <w:tcPr>
            <w:tcW w:w="2126" w:type="dxa"/>
          </w:tcPr>
          <w:p w:rsidR="00C64C5B" w:rsidRPr="00C64C5B" w:rsidRDefault="00C64C5B" w:rsidP="006D1F84">
            <w:pPr>
              <w:spacing w:before="60" w:after="60"/>
              <w:rPr>
                <w:sz w:val="20"/>
                <w:szCs w:val="20"/>
              </w:rPr>
            </w:pPr>
            <w:r w:rsidRPr="00C64C5B">
              <w:rPr>
                <w:sz w:val="20"/>
                <w:szCs w:val="20"/>
              </w:rPr>
              <w:t>1</w:t>
            </w:r>
          </w:p>
        </w:tc>
      </w:tr>
      <w:tr w:rsidR="00C64C5B" w:rsidRPr="00C64C5B" w:rsidTr="00C64C5B">
        <w:trPr>
          <w:cantSplit/>
          <w:tblHeader/>
        </w:trPr>
        <w:tc>
          <w:tcPr>
            <w:tcW w:w="5103" w:type="dxa"/>
          </w:tcPr>
          <w:p w:rsidR="00C64C5B" w:rsidRPr="00C64C5B" w:rsidRDefault="00C64C5B" w:rsidP="006D1F84">
            <w:pPr>
              <w:spacing w:before="60" w:after="60"/>
              <w:rPr>
                <w:sz w:val="20"/>
                <w:szCs w:val="20"/>
              </w:rPr>
            </w:pPr>
            <w:r w:rsidRPr="00C64C5B">
              <w:rPr>
                <w:sz w:val="20"/>
                <w:szCs w:val="20"/>
              </w:rPr>
              <w:t>MSc Pharmacology</w:t>
            </w:r>
          </w:p>
        </w:tc>
        <w:tc>
          <w:tcPr>
            <w:tcW w:w="1843" w:type="dxa"/>
          </w:tcPr>
          <w:p w:rsidR="00C64C5B" w:rsidRPr="00C64C5B" w:rsidRDefault="00C64C5B" w:rsidP="006D1F84">
            <w:pPr>
              <w:spacing w:before="60" w:after="60"/>
              <w:rPr>
                <w:sz w:val="20"/>
                <w:szCs w:val="20"/>
              </w:rPr>
            </w:pPr>
            <w:r w:rsidRPr="00C64C5B">
              <w:rPr>
                <w:sz w:val="20"/>
                <w:szCs w:val="20"/>
              </w:rPr>
              <w:t>1</w:t>
            </w:r>
          </w:p>
        </w:tc>
        <w:tc>
          <w:tcPr>
            <w:tcW w:w="2126" w:type="dxa"/>
          </w:tcPr>
          <w:p w:rsidR="00C64C5B" w:rsidRPr="00C64C5B" w:rsidRDefault="00C64C5B" w:rsidP="006D1F84">
            <w:pPr>
              <w:spacing w:before="60" w:after="60"/>
              <w:rPr>
                <w:sz w:val="20"/>
                <w:szCs w:val="20"/>
              </w:rPr>
            </w:pPr>
            <w:r w:rsidRPr="00C64C5B">
              <w:rPr>
                <w:sz w:val="20"/>
                <w:szCs w:val="20"/>
              </w:rPr>
              <w:t>1</w:t>
            </w:r>
          </w:p>
        </w:tc>
      </w:tr>
    </w:tbl>
    <w:p w:rsidR="00EC20F3" w:rsidRDefault="00C119FB" w:rsidP="00653D03">
      <w:pPr>
        <w:spacing w:before="240"/>
      </w:pPr>
      <w:r>
        <w:t>A</w:t>
      </w:r>
      <w:r w:rsidRPr="005078D2">
        <w:t>t the time of volunteering they were unaware of the nature of the activity</w:t>
      </w:r>
      <w:r>
        <w:t xml:space="preserve">. </w:t>
      </w:r>
      <w:r w:rsidR="000E6195">
        <w:t xml:space="preserve">At the beginning of </w:t>
      </w:r>
      <w:r w:rsidR="00431B8C">
        <w:t>P</w:t>
      </w:r>
      <w:r w:rsidR="000E6195">
        <w:t>hase 1</w:t>
      </w:r>
      <w:r w:rsidR="00675515">
        <w:t xml:space="preserve"> of the focus group</w:t>
      </w:r>
      <w:r w:rsidR="000E6195">
        <w:t xml:space="preserve">, </w:t>
      </w:r>
      <w:r w:rsidR="00E50CB5" w:rsidRPr="005078D2">
        <w:t>students were</w:t>
      </w:r>
      <w:r>
        <w:t xml:space="preserve"> </w:t>
      </w:r>
      <w:r w:rsidR="00E50CB5" w:rsidRPr="005078D2">
        <w:t xml:space="preserve">given a brief introduction with the minimum of information as to the purpose of the focus group. They undertook an activity which required them to find </w:t>
      </w:r>
      <w:r w:rsidR="00431B8C">
        <w:t>‘</w:t>
      </w:r>
      <w:r w:rsidR="00E50CB5" w:rsidRPr="005078D2">
        <w:t xml:space="preserve">visual </w:t>
      </w:r>
      <w:r w:rsidR="00431B8C">
        <w:t xml:space="preserve">material’ </w:t>
      </w:r>
      <w:r w:rsidR="00E50CB5" w:rsidRPr="005078D2">
        <w:t xml:space="preserve">to enhance what </w:t>
      </w:r>
      <w:r w:rsidR="007E032A">
        <w:t xml:space="preserve">was presented as </w:t>
      </w:r>
      <w:r w:rsidR="00E50CB5" w:rsidRPr="005078D2">
        <w:t xml:space="preserve">the first page of a formally assessed assignment on cycling helmets. They were also asked to make a note of what they did. The students then undertook a very short self assessment of their IT and media literacy skills. </w:t>
      </w:r>
    </w:p>
    <w:p w:rsidR="00EC20F3" w:rsidRDefault="00A47FD3" w:rsidP="008A20B6">
      <w:r>
        <w:lastRenderedPageBreak/>
        <w:t>P</w:t>
      </w:r>
      <w:r w:rsidR="00675515">
        <w:t>hase 2</w:t>
      </w:r>
      <w:r>
        <w:t xml:space="preserve"> stared with giving students </w:t>
      </w:r>
      <w:r w:rsidR="00E50CB5" w:rsidRPr="005078D2">
        <w:t>an explanation of the purpose of the focus group</w:t>
      </w:r>
      <w:r w:rsidR="00E50CB5">
        <w:t xml:space="preserve"> (using and </w:t>
      </w:r>
      <w:r w:rsidR="000E6195">
        <w:t>evaluating</w:t>
      </w:r>
      <w:r w:rsidR="00E50CB5">
        <w:t xml:space="preserve"> </w:t>
      </w:r>
      <w:r w:rsidR="00DA3CD6">
        <w:t>VIA</w:t>
      </w:r>
      <w:r w:rsidR="00E50CB5">
        <w:t>)</w:t>
      </w:r>
      <w:r w:rsidR="00E50CB5" w:rsidRPr="005078D2">
        <w:t xml:space="preserve">. The students </w:t>
      </w:r>
      <w:r>
        <w:t xml:space="preserve">then </w:t>
      </w:r>
      <w:r w:rsidR="00E50CB5">
        <w:t xml:space="preserve">worked through </w:t>
      </w:r>
      <w:r w:rsidR="00DA3CD6">
        <w:t>VIA</w:t>
      </w:r>
      <w:r w:rsidR="00E50CB5">
        <w:t xml:space="preserve"> and then </w:t>
      </w:r>
      <w:r w:rsidR="00E50CB5" w:rsidRPr="005078D2">
        <w:t xml:space="preserve">repeated the activity, again making a note of the steps they took. </w:t>
      </w:r>
    </w:p>
    <w:p w:rsidR="00EC20F3" w:rsidRDefault="00EC20F3" w:rsidP="00EC20F3">
      <w:pPr>
        <w:pStyle w:val="Caption"/>
      </w:pPr>
      <w:r>
        <w:t xml:space="preserve">Figure </w:t>
      </w:r>
      <w:r w:rsidR="00F248C9">
        <w:fldChar w:fldCharType="begin"/>
      </w:r>
      <w:r w:rsidR="00631B9E">
        <w:instrText xml:space="preserve"> SEQ Figure \* ARABIC </w:instrText>
      </w:r>
      <w:r w:rsidR="00F248C9">
        <w:fldChar w:fldCharType="separate"/>
      </w:r>
      <w:r w:rsidR="008B25B9">
        <w:rPr>
          <w:noProof/>
        </w:rPr>
        <w:t>2</w:t>
      </w:r>
      <w:r w:rsidR="00F248C9">
        <w:fldChar w:fldCharType="end"/>
      </w:r>
      <w:r>
        <w:t xml:space="preserve">: Students working with </w:t>
      </w:r>
      <w:r w:rsidR="00DA3CD6">
        <w:t>VIA</w:t>
      </w:r>
      <w:r>
        <w:t xml:space="preserve"> (phase 2)</w:t>
      </w:r>
    </w:p>
    <w:tbl>
      <w:tblPr>
        <w:tblW w:w="9322" w:type="dxa"/>
        <w:tblLayout w:type="fixed"/>
        <w:tblLook w:val="01E0"/>
      </w:tblPr>
      <w:tblGrid>
        <w:gridCol w:w="4786"/>
        <w:gridCol w:w="4536"/>
      </w:tblGrid>
      <w:tr w:rsidR="00EC20F3" w:rsidTr="00EC20F3">
        <w:trPr>
          <w:trHeight w:val="3122"/>
        </w:trPr>
        <w:tc>
          <w:tcPr>
            <w:tcW w:w="4786" w:type="dxa"/>
          </w:tcPr>
          <w:p w:rsidR="00EC20F3" w:rsidRDefault="008B25B9" w:rsidP="00DC6685">
            <w:r>
              <w:rPr>
                <w:noProof/>
              </w:rPr>
              <w:drawing>
                <wp:inline distT="0" distB="0" distL="0" distR="0">
                  <wp:extent cx="2571750" cy="1924050"/>
                  <wp:effectExtent l="19050" t="0" r="0" b="0"/>
                  <wp:docPr id="2" name="Picture 10" descr="Mich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elle"/>
                          <pic:cNvPicPr>
                            <a:picLocks noChangeAspect="1" noChangeArrowheads="1"/>
                          </pic:cNvPicPr>
                        </pic:nvPicPr>
                        <pic:blipFill>
                          <a:blip r:embed="rId8"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tc>
        <w:tc>
          <w:tcPr>
            <w:tcW w:w="4536" w:type="dxa"/>
          </w:tcPr>
          <w:p w:rsidR="00EC20F3" w:rsidRDefault="008B25B9" w:rsidP="008A20B6">
            <w:pPr>
              <w:jc w:val="right"/>
            </w:pPr>
            <w:r>
              <w:rPr>
                <w:noProof/>
              </w:rPr>
              <w:drawing>
                <wp:inline distT="0" distB="0" distL="0" distR="0">
                  <wp:extent cx="2571750" cy="1914525"/>
                  <wp:effectExtent l="19050" t="0" r="0" b="0"/>
                  <wp:docPr id="3" name="Picture 11" descr="Ch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di"/>
                          <pic:cNvPicPr>
                            <a:picLocks noChangeAspect="1" noChangeArrowheads="1"/>
                          </pic:cNvPicPr>
                        </pic:nvPicPr>
                        <pic:blipFill>
                          <a:blip r:embed="rId9" cstate="print"/>
                          <a:srcRect/>
                          <a:stretch>
                            <a:fillRect/>
                          </a:stretch>
                        </pic:blipFill>
                        <pic:spPr bwMode="auto">
                          <a:xfrm>
                            <a:off x="0" y="0"/>
                            <a:ext cx="2571750" cy="1914525"/>
                          </a:xfrm>
                          <a:prstGeom prst="rect">
                            <a:avLst/>
                          </a:prstGeom>
                          <a:noFill/>
                          <a:ln w="9525">
                            <a:noFill/>
                            <a:miter lim="800000"/>
                            <a:headEnd/>
                            <a:tailEnd/>
                          </a:ln>
                        </pic:spPr>
                      </pic:pic>
                    </a:graphicData>
                  </a:graphic>
                </wp:inline>
              </w:drawing>
            </w:r>
          </w:p>
        </w:tc>
      </w:tr>
    </w:tbl>
    <w:p w:rsidR="00E50CB5" w:rsidRPr="005078D2" w:rsidRDefault="00A47FD3" w:rsidP="00EC20F3">
      <w:r>
        <w:t>To complete phase 2, s</w:t>
      </w:r>
      <w:r w:rsidR="00EC20F3">
        <w:t>tudents</w:t>
      </w:r>
      <w:r w:rsidR="00E50CB5" w:rsidRPr="005078D2">
        <w:t xml:space="preserve"> were divided into two groups for a discussion about what they had learnt, the usability of the material and the content of the material.</w:t>
      </w:r>
    </w:p>
    <w:p w:rsidR="00392265" w:rsidRDefault="00F44998" w:rsidP="005078D2">
      <w:pPr>
        <w:pStyle w:val="Heading3"/>
      </w:pPr>
      <w:r>
        <w:t xml:space="preserve">Online heuristic evaluation </w:t>
      </w:r>
      <w:r w:rsidR="001B7610">
        <w:t xml:space="preserve">by </w:t>
      </w:r>
      <w:r w:rsidR="00392265">
        <w:t xml:space="preserve">Master’s </w:t>
      </w:r>
      <w:r>
        <w:t>students</w:t>
      </w:r>
    </w:p>
    <w:p w:rsidR="00C119FB" w:rsidRDefault="00392265" w:rsidP="003A0E34">
      <w:r>
        <w:t xml:space="preserve">Students enrolled </w:t>
      </w:r>
      <w:r w:rsidR="00F44998">
        <w:t>on the MA Professional Communication programme</w:t>
      </w:r>
      <w:r>
        <w:t xml:space="preserve"> were invited to evaluate the </w:t>
      </w:r>
      <w:r w:rsidR="003A0E34">
        <w:t>VIA</w:t>
      </w:r>
      <w:r>
        <w:t xml:space="preserve"> resource, as part of their studies on the </w:t>
      </w:r>
      <w:r w:rsidR="00C64C5B">
        <w:t>‘</w:t>
      </w:r>
      <w:r>
        <w:t>Visual Communication</w:t>
      </w:r>
      <w:r w:rsidR="00C64C5B">
        <w:t>’</w:t>
      </w:r>
      <w:r>
        <w:t xml:space="preserve"> module.</w:t>
      </w:r>
      <w:r w:rsidR="00C64C5B">
        <w:t xml:space="preserve"> </w:t>
      </w:r>
      <w:r w:rsidR="005579F1">
        <w:t>Seven</w:t>
      </w:r>
      <w:r w:rsidR="00C64C5B">
        <w:t xml:space="preserve"> students </w:t>
      </w:r>
      <w:r w:rsidR="005579F1">
        <w:t xml:space="preserve">agreed to contribute (four women and four men) to the evaluation. </w:t>
      </w:r>
    </w:p>
    <w:p w:rsidR="00F44998" w:rsidRDefault="005579F1" w:rsidP="005078D2">
      <w:r>
        <w:t xml:space="preserve">Their task was to select a visual analysis tool </w:t>
      </w:r>
      <w:r w:rsidR="00F248C9">
        <w:fldChar w:fldCharType="begin"/>
      </w:r>
      <w:r>
        <w:instrText xml:space="preserve"> ADDIN EN.CITE &lt;EndNote&gt;&lt;Cite&gt;&lt;Author&gt;Rose&lt;/Author&gt;&lt;Year&gt;2007&lt;/Year&gt;&lt;RecNum&gt;1711&lt;/RecNum&gt;&lt;record&gt;&lt;rec-number&gt;1711&lt;/rec-number&gt;&lt;ref-type name="Book"&gt;6&lt;/ref-type&gt;&lt;contributors&gt;&lt;authors&gt;&lt;author&gt;Rose, G.&lt;/author&gt;&lt;/authors&gt;&lt;/contributors&gt;&lt;titles&gt;&lt;title&gt;Visual Methodologies: An Introduction to the Interpretation of Visual Methods&lt;/title&gt;&lt;/titles&gt;&lt;edition&gt;2nd ed.&lt;/edition&gt;&lt;keywords&gt;&lt;keyword&gt;visuals&lt;/keyword&gt;&lt;keyword&gt;visual analysis&lt;/keyword&gt;&lt;keyword&gt;visual communication&lt;/keyword&gt;&lt;/keywords&gt;&lt;dates&gt;&lt;year&gt;2007&lt;/year&gt;&lt;/dates&gt;&lt;pub-location&gt;London&lt;/pub-location&gt;&lt;publisher&gt;Sage&lt;/publisher&gt;&lt;urls&gt;&lt;/urls&gt;&lt;/record&gt;&lt;/Cite&gt;&lt;Cite&gt;&lt;Author&gt;Kostelnick&lt;/Author&gt;&lt;Year&gt;1998&lt;/Year&gt;&lt;RecNum&gt;98&lt;/RecNum&gt;&lt;Prefix&gt;e.g. &lt;/Prefix&gt;&lt;record&gt;&lt;rec-number&gt;98&lt;/rec-number&gt;&lt;ref-type name="Book"&gt;6&lt;/ref-type&gt;&lt;contributors&gt;&lt;authors&gt;&lt;author&gt;Kostelnick, C.&lt;/author&gt;&lt;author&gt;Roberts, D. D.&lt;/author&gt;&lt;/authors&gt;&lt;/contributors&gt;&lt;titles&gt;&lt;title&gt;Designing Visual Language: Strategies for Professional Communicators&lt;/title&gt;&lt;/titles&gt;&lt;keywords&gt;&lt;keyword&gt;visual communication&lt;/keyword&gt;&lt;/keywords&gt;&lt;dates&gt;&lt;year&gt;1998&lt;/year&gt;&lt;/dates&gt;&lt;publisher&gt;Longman (Allyn and Bacon)&lt;/publisher&gt;&lt;urls&gt;&lt;/urls&gt;&lt;/record&gt;&lt;/Cite&gt;&lt;/EndNote&gt;</w:instrText>
      </w:r>
      <w:r w:rsidR="00F248C9">
        <w:fldChar w:fldCharType="separate"/>
      </w:r>
      <w:r>
        <w:t>(e.g. Kostelnick and Roberts 1998; Rose 2007)</w:t>
      </w:r>
      <w:r w:rsidR="00F248C9">
        <w:fldChar w:fldCharType="end"/>
      </w:r>
      <w:r>
        <w:t xml:space="preserve"> and</w:t>
      </w:r>
      <w:r w:rsidR="008A20B6">
        <w:t xml:space="preserve"> use heuristically</w:t>
      </w:r>
      <w:r>
        <w:t xml:space="preserve"> to comment on the appropriateness of the </w:t>
      </w:r>
      <w:r w:rsidR="00DA3CD6">
        <w:t>VIA</w:t>
      </w:r>
      <w:r>
        <w:t xml:space="preserve"> resource for a student audience. </w:t>
      </w:r>
      <w:r w:rsidR="00C119FB" w:rsidRPr="001D0343">
        <w:t xml:space="preserve">Heuristic evaluation </w:t>
      </w:r>
      <w:r w:rsidR="00C119FB">
        <w:t xml:space="preserve">is a </w:t>
      </w:r>
      <w:r w:rsidR="00C119FB" w:rsidRPr="001D0343">
        <w:t xml:space="preserve">method for </w:t>
      </w:r>
      <w:r w:rsidR="00C119FB">
        <w:t>assess</w:t>
      </w:r>
      <w:r w:rsidR="008B7D86">
        <w:t>ing</w:t>
      </w:r>
      <w:r w:rsidR="00C119FB">
        <w:t xml:space="preserve"> design quality in the </w:t>
      </w:r>
      <w:r w:rsidR="00C119FB" w:rsidRPr="001D0343">
        <w:t xml:space="preserve">user interface </w:t>
      </w:r>
      <w:r w:rsidR="00C119FB">
        <w:t xml:space="preserve">of </w:t>
      </w:r>
      <w:r w:rsidR="00C119FB" w:rsidRPr="001D0343">
        <w:t xml:space="preserve">software </w:t>
      </w:r>
      <w:r w:rsidR="00C119FB">
        <w:t xml:space="preserve">applications or </w:t>
      </w:r>
      <w:r w:rsidR="00C119FB" w:rsidRPr="001D0343">
        <w:t>websites</w:t>
      </w:r>
      <w:r w:rsidR="00C119FB">
        <w:t xml:space="preserve"> </w:t>
      </w:r>
      <w:r w:rsidR="00F248C9">
        <w:fldChar w:fldCharType="begin"/>
      </w:r>
      <w:r w:rsidR="00C119FB">
        <w:instrText xml:space="preserve"> ADDIN EN.CITE &lt;EndNote&gt;&lt;Cite&gt;&lt;Author&gt;Nielsen&lt;/Author&gt;&lt;Year&gt;1994&lt;/Year&gt;&lt;RecNum&gt;133&lt;/RecNum&gt;&lt;record&gt;&lt;rec-number&gt;133&lt;/rec-number&gt;&lt;ref-type name="Book"&gt;6&lt;/ref-type&gt;&lt;contributors&gt;&lt;authors&gt;&lt;author&gt;Nielsen, J.&lt;/author&gt;&lt;author&gt;Mack, R. L.&lt;/author&gt;&lt;/authors&gt;&lt;/contributors&gt;&lt;titles&gt;&lt;title&gt;Usability Inspection Methods&lt;/title&gt;&lt;/titles&gt;&lt;keywords&gt;&lt;keyword&gt;usability&lt;/keyword&gt;&lt;keyword&gt;methods&lt;/keyword&gt;&lt;keyword&gt;evaluation&lt;/keyword&gt;&lt;/keywords&gt;&lt;dates&gt;&lt;year&gt;1994&lt;/year&gt;&lt;/dates&gt;&lt;pub-location&gt;New York, NY&lt;/pub-location&gt;&lt;publisher&gt;Wiley&lt;/publisher&gt;&lt;urls&gt;&lt;/urls&gt;&lt;/record&gt;&lt;/Cite&gt;&lt;Cite&gt;&lt;Author&gt;Dumas&lt;/Author&gt;&lt;Year&gt;1999&lt;/Year&gt;&lt;RecNum&gt;844&lt;/RecNum&gt;&lt;record&gt;&lt;rec-number&gt;844&lt;/rec-number&gt;&lt;ref-type name="Book"&gt;6&lt;/ref-type&gt;&lt;contributors&gt;&lt;authors&gt;&lt;author&gt;Dumas, J.S.&lt;/author&gt;&lt;author&gt;Redish, J.C.&lt;/author&gt;&lt;/authors&gt;&lt;/contributors&gt;&lt;titles&gt;&lt;title&gt;A Practical Guide to Usability Testing&lt;/title&gt;&lt;/titles&gt;&lt;keywords&gt;&lt;keyword&gt;usability&lt;/keyword&gt;&lt;keyword&gt;CETL PLA&lt;/keyword&gt;&lt;/keywords&gt;&lt;dates&gt;&lt;year&gt;1999&lt;/year&gt;&lt;/dates&gt;&lt;pub-location&gt;Exeter&lt;/pub-location&gt;&lt;publisher&gt;Intellect&lt;/publisher&gt;&lt;urls&gt;&lt;/urls&gt;&lt;/record&gt;&lt;/Cite&gt;&lt;/EndNote&gt;</w:instrText>
      </w:r>
      <w:r w:rsidR="00F248C9">
        <w:fldChar w:fldCharType="separate"/>
      </w:r>
      <w:r w:rsidR="00C119FB">
        <w:t>(Dumas and Redish 1999; Nielsen and Mack 1994)</w:t>
      </w:r>
      <w:r w:rsidR="00F248C9">
        <w:fldChar w:fldCharType="end"/>
      </w:r>
      <w:r w:rsidR="00C119FB" w:rsidRPr="001D0343">
        <w:t xml:space="preserve">. It </w:t>
      </w:r>
      <w:r w:rsidR="00C119FB">
        <w:t>is carried out by</w:t>
      </w:r>
      <w:r w:rsidR="00C119FB" w:rsidRPr="001D0343">
        <w:t xml:space="preserve"> </w:t>
      </w:r>
      <w:r w:rsidR="00C119FB">
        <w:t xml:space="preserve">several evaluators who, in parallel, </w:t>
      </w:r>
      <w:r w:rsidR="00C119FB" w:rsidRPr="001D0343">
        <w:t xml:space="preserve">assess the interface using a set of principles (or </w:t>
      </w:r>
      <w:r w:rsidR="00C119FB">
        <w:t>‘</w:t>
      </w:r>
      <w:r w:rsidR="00C119FB" w:rsidRPr="001D0343">
        <w:t>heuristics</w:t>
      </w:r>
      <w:r w:rsidR="00C119FB">
        <w:t>’</w:t>
      </w:r>
      <w:r w:rsidR="00C119FB" w:rsidRPr="001D0343">
        <w:t>).</w:t>
      </w:r>
      <w:r w:rsidR="00C119FB">
        <w:t xml:space="preserve"> Several evaluators are needed because a single evaluator cannot identify all possible problems.</w:t>
      </w:r>
      <w:r w:rsidR="00C119FB" w:rsidRPr="00C119FB">
        <w:t xml:space="preserve"> </w:t>
      </w:r>
      <w:r w:rsidR="00C119FB">
        <w:t>Each evaluator works alone, evaluating the interface against a list of heuristics, normally well established principles. Findings are aggregated, to identify the commonality and severity of the problems they have identified. In the case of our study, MA students took on the role of evaluators, and reported their conclusions in a discussion on the Blackboard site support their studies.</w:t>
      </w:r>
    </w:p>
    <w:p w:rsidR="00F44998" w:rsidRPr="00C119FB" w:rsidRDefault="00C119FB" w:rsidP="005078D2">
      <w:pPr>
        <w:pStyle w:val="Heading3"/>
      </w:pPr>
      <w:r w:rsidRPr="00C119FB">
        <w:t>Online</w:t>
      </w:r>
      <w:r w:rsidR="00F44998" w:rsidRPr="00C119FB">
        <w:t xml:space="preserve"> </w:t>
      </w:r>
      <w:r>
        <w:t>i</w:t>
      </w:r>
      <w:r w:rsidRPr="00C119FB">
        <w:t>nterviews</w:t>
      </w:r>
      <w:r w:rsidR="00F44998" w:rsidRPr="00C119FB">
        <w:t xml:space="preserve"> with Information Advisers</w:t>
      </w:r>
    </w:p>
    <w:p w:rsidR="00C119FB" w:rsidRPr="00C119FB" w:rsidRDefault="00C119FB" w:rsidP="009532E3">
      <w:r w:rsidRPr="00C119FB">
        <w:t xml:space="preserve">The third group of people </w:t>
      </w:r>
      <w:r>
        <w:t>who</w:t>
      </w:r>
      <w:r w:rsidRPr="00C119FB">
        <w:t xml:space="preserve"> evalua</w:t>
      </w:r>
      <w:r>
        <w:t>ted</w:t>
      </w:r>
      <w:r w:rsidRPr="00C119FB">
        <w:t xml:space="preserve"> the </w:t>
      </w:r>
      <w:r w:rsidR="00DA3CD6">
        <w:t>VIA</w:t>
      </w:r>
      <w:r w:rsidRPr="00C119FB">
        <w:t xml:space="preserve"> resource were </w:t>
      </w:r>
      <w:r w:rsidR="00337308" w:rsidRPr="00C119FB">
        <w:t>Information Advisers</w:t>
      </w:r>
      <w:r w:rsidRPr="00C119FB">
        <w:t>. The</w:t>
      </w:r>
      <w:r w:rsidR="005407FF">
        <w:t>se</w:t>
      </w:r>
      <w:r w:rsidRPr="00C119FB">
        <w:t xml:space="preserve"> are information professionals who are either based in a faculty team, working closely with teaching staff to tailor information skills sessions to meet the needs of the specific cohort of students, or based in a functional team ensuring services, systems, and processes best meet teaching and learning needs. Each year they</w:t>
      </w:r>
      <w:r w:rsidR="00337308" w:rsidRPr="00C119FB">
        <w:t xml:space="preserve"> deliver</w:t>
      </w:r>
      <w:r w:rsidRPr="00C119FB">
        <w:t xml:space="preserve"> </w:t>
      </w:r>
      <w:r w:rsidR="00BF3559" w:rsidRPr="00C119FB">
        <w:t xml:space="preserve">approximately </w:t>
      </w:r>
      <w:r w:rsidR="009532E3" w:rsidRPr="00C119FB">
        <w:t>1,500 hours of</w:t>
      </w:r>
      <w:r w:rsidR="00BF3559" w:rsidRPr="00C119FB">
        <w:t xml:space="preserve"> </w:t>
      </w:r>
      <w:r w:rsidR="00337308" w:rsidRPr="00C119FB">
        <w:t>information literacy sessions</w:t>
      </w:r>
      <w:r w:rsidR="009532E3" w:rsidRPr="00C119FB">
        <w:t>,</w:t>
      </w:r>
      <w:r w:rsidRPr="00C119FB">
        <w:t xml:space="preserve"> </w:t>
      </w:r>
      <w:r w:rsidR="00BF3559" w:rsidRPr="00C119FB">
        <w:t>across all levels from Level 4 to postgraduate.</w:t>
      </w:r>
    </w:p>
    <w:p w:rsidR="005407FF" w:rsidRPr="00C119FB" w:rsidRDefault="005407FF" w:rsidP="005407FF">
      <w:pPr>
        <w:pStyle w:val="Caption"/>
      </w:pPr>
      <w:r>
        <w:t xml:space="preserve">Table </w:t>
      </w:r>
      <w:r w:rsidR="00F248C9">
        <w:fldChar w:fldCharType="begin"/>
      </w:r>
      <w:r>
        <w:instrText xml:space="preserve"> SEQ Table \* ARABIC </w:instrText>
      </w:r>
      <w:r w:rsidR="00F248C9">
        <w:fldChar w:fldCharType="separate"/>
      </w:r>
      <w:r w:rsidR="008B25B9">
        <w:rPr>
          <w:noProof/>
        </w:rPr>
        <w:t>2</w:t>
      </w:r>
      <w:r w:rsidR="00F248C9">
        <w:fldChar w:fldCharType="end"/>
      </w:r>
      <w:r>
        <w:t>: composition of the Information Adviser</w:t>
      </w:r>
      <w:r w:rsidR="00873818">
        <w:t>s’</w:t>
      </w:r>
      <w:r>
        <w:t xml:space="preserve">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4621"/>
      </w:tblGrid>
      <w:tr w:rsidR="00C119FB" w:rsidRPr="00C119FB" w:rsidTr="00E00763">
        <w:tc>
          <w:tcPr>
            <w:tcW w:w="4513" w:type="dxa"/>
          </w:tcPr>
          <w:p w:rsidR="00C119FB" w:rsidRPr="00C119FB" w:rsidRDefault="00C119FB" w:rsidP="00C119FB">
            <w:pPr>
              <w:spacing w:before="60" w:after="60"/>
              <w:rPr>
                <w:i/>
                <w:sz w:val="20"/>
                <w:szCs w:val="20"/>
              </w:rPr>
            </w:pPr>
            <w:r w:rsidRPr="00C119FB">
              <w:rPr>
                <w:i/>
                <w:sz w:val="20"/>
                <w:szCs w:val="20"/>
              </w:rPr>
              <w:t xml:space="preserve">Team </w:t>
            </w:r>
          </w:p>
        </w:tc>
        <w:tc>
          <w:tcPr>
            <w:tcW w:w="4621" w:type="dxa"/>
          </w:tcPr>
          <w:p w:rsidR="00C119FB" w:rsidRPr="00C119FB" w:rsidRDefault="00C119FB" w:rsidP="00C119FB">
            <w:pPr>
              <w:spacing w:before="60" w:after="60"/>
              <w:rPr>
                <w:i/>
                <w:sz w:val="20"/>
                <w:szCs w:val="20"/>
              </w:rPr>
            </w:pPr>
            <w:r w:rsidRPr="00C119FB">
              <w:rPr>
                <w:i/>
                <w:sz w:val="20"/>
                <w:szCs w:val="20"/>
              </w:rPr>
              <w:t>Number of Information Advisers</w:t>
            </w:r>
          </w:p>
        </w:tc>
      </w:tr>
      <w:tr w:rsidR="00C119FB" w:rsidRPr="00C119FB" w:rsidTr="00E00763">
        <w:tc>
          <w:tcPr>
            <w:tcW w:w="4513" w:type="dxa"/>
          </w:tcPr>
          <w:p w:rsidR="00C119FB" w:rsidRPr="00C119FB" w:rsidRDefault="00C119FB" w:rsidP="00C119FB">
            <w:pPr>
              <w:spacing w:before="60" w:after="60"/>
              <w:rPr>
                <w:sz w:val="20"/>
                <w:szCs w:val="20"/>
              </w:rPr>
            </w:pPr>
            <w:r w:rsidRPr="00C119FB">
              <w:rPr>
                <w:sz w:val="20"/>
                <w:szCs w:val="20"/>
              </w:rPr>
              <w:t>Head of Academic Services</w:t>
            </w:r>
          </w:p>
        </w:tc>
        <w:tc>
          <w:tcPr>
            <w:tcW w:w="4621" w:type="dxa"/>
          </w:tcPr>
          <w:p w:rsidR="00C119FB" w:rsidRPr="00C119FB" w:rsidRDefault="00C119FB" w:rsidP="00C119FB">
            <w:pPr>
              <w:spacing w:before="60" w:after="60"/>
              <w:rPr>
                <w:sz w:val="20"/>
                <w:szCs w:val="20"/>
              </w:rPr>
            </w:pPr>
            <w:r w:rsidRPr="00C119FB">
              <w:rPr>
                <w:sz w:val="20"/>
                <w:szCs w:val="20"/>
              </w:rPr>
              <w:t>1</w:t>
            </w:r>
          </w:p>
        </w:tc>
      </w:tr>
      <w:tr w:rsidR="00C119FB" w:rsidRPr="00C119FB" w:rsidTr="00E00763">
        <w:tc>
          <w:tcPr>
            <w:tcW w:w="4513" w:type="dxa"/>
          </w:tcPr>
          <w:p w:rsidR="00C119FB" w:rsidRPr="00C119FB" w:rsidRDefault="00C119FB" w:rsidP="00C119FB">
            <w:pPr>
              <w:spacing w:before="60" w:after="60"/>
              <w:rPr>
                <w:sz w:val="20"/>
                <w:szCs w:val="20"/>
              </w:rPr>
            </w:pPr>
            <w:r w:rsidRPr="00C119FB">
              <w:rPr>
                <w:sz w:val="20"/>
                <w:szCs w:val="20"/>
              </w:rPr>
              <w:t>ACES Faculty team</w:t>
            </w:r>
          </w:p>
        </w:tc>
        <w:tc>
          <w:tcPr>
            <w:tcW w:w="4621" w:type="dxa"/>
          </w:tcPr>
          <w:p w:rsidR="00C119FB" w:rsidRPr="00C119FB" w:rsidRDefault="00C119FB" w:rsidP="00C119FB">
            <w:pPr>
              <w:spacing w:before="60" w:after="60"/>
              <w:rPr>
                <w:sz w:val="20"/>
                <w:szCs w:val="20"/>
              </w:rPr>
            </w:pPr>
            <w:r w:rsidRPr="00C119FB">
              <w:rPr>
                <w:sz w:val="20"/>
                <w:szCs w:val="20"/>
              </w:rPr>
              <w:t>1</w:t>
            </w:r>
          </w:p>
        </w:tc>
      </w:tr>
      <w:tr w:rsidR="00C119FB" w:rsidRPr="00C119FB" w:rsidTr="00E00763">
        <w:tc>
          <w:tcPr>
            <w:tcW w:w="4513" w:type="dxa"/>
          </w:tcPr>
          <w:p w:rsidR="00C119FB" w:rsidRPr="00C119FB" w:rsidRDefault="00C119FB" w:rsidP="00C119FB">
            <w:pPr>
              <w:spacing w:before="60" w:after="60"/>
              <w:rPr>
                <w:sz w:val="20"/>
                <w:szCs w:val="20"/>
              </w:rPr>
            </w:pPr>
            <w:r w:rsidRPr="00C119FB">
              <w:rPr>
                <w:sz w:val="20"/>
                <w:szCs w:val="20"/>
              </w:rPr>
              <w:t xml:space="preserve">Health and Wellbeing Faculty Team </w:t>
            </w:r>
          </w:p>
        </w:tc>
        <w:tc>
          <w:tcPr>
            <w:tcW w:w="4621" w:type="dxa"/>
          </w:tcPr>
          <w:p w:rsidR="00C119FB" w:rsidRPr="00C119FB" w:rsidRDefault="00C119FB" w:rsidP="00C119FB">
            <w:pPr>
              <w:spacing w:before="60" w:after="60"/>
              <w:rPr>
                <w:sz w:val="20"/>
                <w:szCs w:val="20"/>
              </w:rPr>
            </w:pPr>
            <w:r w:rsidRPr="00C119FB">
              <w:rPr>
                <w:sz w:val="20"/>
                <w:szCs w:val="20"/>
              </w:rPr>
              <w:t>2</w:t>
            </w:r>
          </w:p>
        </w:tc>
      </w:tr>
      <w:tr w:rsidR="00C119FB" w:rsidRPr="00C119FB" w:rsidTr="00E00763">
        <w:tc>
          <w:tcPr>
            <w:tcW w:w="4513" w:type="dxa"/>
          </w:tcPr>
          <w:p w:rsidR="00C119FB" w:rsidRPr="00C119FB" w:rsidRDefault="00C119FB" w:rsidP="00C119FB">
            <w:pPr>
              <w:spacing w:before="60" w:after="60"/>
              <w:rPr>
                <w:sz w:val="20"/>
                <w:szCs w:val="20"/>
              </w:rPr>
            </w:pPr>
            <w:smartTag w:uri="urn:schemas-microsoft-com:office:smarttags" w:element="place">
              <w:smartTag w:uri="urn:schemas-microsoft-com:office:smarttags" w:element="PlaceName">
                <w:r w:rsidRPr="00C119FB">
                  <w:rPr>
                    <w:sz w:val="20"/>
                    <w:szCs w:val="20"/>
                  </w:rPr>
                  <w:t>Sheffield</w:t>
                </w:r>
              </w:smartTag>
              <w:r w:rsidRPr="00C119FB">
                <w:rPr>
                  <w:sz w:val="20"/>
                  <w:szCs w:val="20"/>
                </w:rPr>
                <w:t xml:space="preserve"> </w:t>
              </w:r>
              <w:smartTag w:uri="urn:schemas-microsoft-com:office:smarttags" w:element="PlaceName">
                <w:r w:rsidRPr="00C119FB">
                  <w:rPr>
                    <w:sz w:val="20"/>
                    <w:szCs w:val="20"/>
                  </w:rPr>
                  <w:t>Business</w:t>
                </w:r>
              </w:smartTag>
              <w:r w:rsidRPr="00C119FB">
                <w:rPr>
                  <w:sz w:val="20"/>
                  <w:szCs w:val="20"/>
                </w:rPr>
                <w:t xml:space="preserve"> </w:t>
              </w:r>
              <w:smartTag w:uri="urn:schemas-microsoft-com:office:smarttags" w:element="PlaceType">
                <w:r w:rsidRPr="00C119FB">
                  <w:rPr>
                    <w:sz w:val="20"/>
                    <w:szCs w:val="20"/>
                  </w:rPr>
                  <w:t>School</w:t>
                </w:r>
              </w:smartTag>
            </w:smartTag>
            <w:r w:rsidRPr="00C119FB">
              <w:rPr>
                <w:sz w:val="20"/>
                <w:szCs w:val="20"/>
              </w:rPr>
              <w:t xml:space="preserve"> Team</w:t>
            </w:r>
          </w:p>
        </w:tc>
        <w:tc>
          <w:tcPr>
            <w:tcW w:w="4621" w:type="dxa"/>
          </w:tcPr>
          <w:p w:rsidR="00C119FB" w:rsidRPr="00C119FB" w:rsidRDefault="00C119FB" w:rsidP="00C119FB">
            <w:pPr>
              <w:spacing w:before="60" w:after="60"/>
              <w:rPr>
                <w:sz w:val="20"/>
                <w:szCs w:val="20"/>
              </w:rPr>
            </w:pPr>
            <w:r w:rsidRPr="00C119FB">
              <w:rPr>
                <w:sz w:val="20"/>
                <w:szCs w:val="20"/>
              </w:rPr>
              <w:t>1</w:t>
            </w:r>
          </w:p>
        </w:tc>
      </w:tr>
      <w:tr w:rsidR="00C119FB" w:rsidRPr="00C119FB" w:rsidTr="00E00763">
        <w:tc>
          <w:tcPr>
            <w:tcW w:w="4513" w:type="dxa"/>
          </w:tcPr>
          <w:p w:rsidR="00C119FB" w:rsidRPr="00C119FB" w:rsidRDefault="00C119FB" w:rsidP="00C119FB">
            <w:pPr>
              <w:spacing w:before="60" w:after="60"/>
              <w:rPr>
                <w:sz w:val="20"/>
                <w:szCs w:val="20"/>
              </w:rPr>
            </w:pPr>
            <w:r w:rsidRPr="00C119FB">
              <w:rPr>
                <w:sz w:val="20"/>
                <w:szCs w:val="20"/>
              </w:rPr>
              <w:lastRenderedPageBreak/>
              <w:t>Systems Team</w:t>
            </w:r>
          </w:p>
        </w:tc>
        <w:tc>
          <w:tcPr>
            <w:tcW w:w="4621" w:type="dxa"/>
          </w:tcPr>
          <w:p w:rsidR="00C119FB" w:rsidRPr="00C119FB" w:rsidRDefault="00C119FB" w:rsidP="00C119FB">
            <w:pPr>
              <w:spacing w:before="60" w:after="60"/>
              <w:rPr>
                <w:sz w:val="20"/>
                <w:szCs w:val="20"/>
              </w:rPr>
            </w:pPr>
            <w:r w:rsidRPr="00C119FB">
              <w:rPr>
                <w:sz w:val="20"/>
                <w:szCs w:val="20"/>
              </w:rPr>
              <w:t>1</w:t>
            </w:r>
          </w:p>
        </w:tc>
      </w:tr>
      <w:tr w:rsidR="00C119FB" w:rsidRPr="00C119FB" w:rsidTr="00E00763">
        <w:tc>
          <w:tcPr>
            <w:tcW w:w="4513" w:type="dxa"/>
          </w:tcPr>
          <w:p w:rsidR="00C119FB" w:rsidRPr="00C119FB" w:rsidRDefault="00C119FB" w:rsidP="00C119FB">
            <w:pPr>
              <w:spacing w:before="60" w:after="60"/>
              <w:rPr>
                <w:sz w:val="20"/>
                <w:szCs w:val="20"/>
              </w:rPr>
            </w:pPr>
            <w:r w:rsidRPr="00C119FB">
              <w:rPr>
                <w:sz w:val="20"/>
                <w:szCs w:val="20"/>
              </w:rPr>
              <w:t>Virtual Learning Centre Team</w:t>
            </w:r>
          </w:p>
        </w:tc>
        <w:tc>
          <w:tcPr>
            <w:tcW w:w="4621" w:type="dxa"/>
          </w:tcPr>
          <w:p w:rsidR="00C119FB" w:rsidRPr="00C119FB" w:rsidRDefault="00C119FB" w:rsidP="00C119FB">
            <w:pPr>
              <w:spacing w:before="60" w:after="60"/>
              <w:rPr>
                <w:sz w:val="20"/>
                <w:szCs w:val="20"/>
              </w:rPr>
            </w:pPr>
            <w:r w:rsidRPr="00C119FB">
              <w:rPr>
                <w:sz w:val="20"/>
                <w:szCs w:val="20"/>
              </w:rPr>
              <w:t>2</w:t>
            </w:r>
          </w:p>
        </w:tc>
      </w:tr>
    </w:tbl>
    <w:p w:rsidR="00C119FB" w:rsidRPr="00C119FB" w:rsidRDefault="00C119FB" w:rsidP="00C119FB">
      <w:pPr>
        <w:spacing w:before="120"/>
      </w:pPr>
      <w:r w:rsidRPr="00C119FB">
        <w:t xml:space="preserve">Information Advisers were asked to evaluate </w:t>
      </w:r>
      <w:r w:rsidR="00DA3CD6">
        <w:t>VIA</w:t>
      </w:r>
      <w:r w:rsidRPr="00C119FB">
        <w:t xml:space="preserve"> and provide feedback on the scope of the content, its value as a tool for developing media literacy skills, and also the overall look, feel and navigability of the resource.</w:t>
      </w:r>
    </w:p>
    <w:p w:rsidR="00FF0CD3" w:rsidRPr="00FF0CD3" w:rsidRDefault="00F05685" w:rsidP="005078D2">
      <w:pPr>
        <w:pStyle w:val="Heading2"/>
      </w:pPr>
      <w:r>
        <w:t>Findings and discussion</w:t>
      </w:r>
    </w:p>
    <w:p w:rsidR="00B23F1F" w:rsidRDefault="00B23F1F" w:rsidP="00BD5A06">
      <w:pPr>
        <w:pStyle w:val="Heading3"/>
      </w:pPr>
      <w:r>
        <w:t>Overall</w:t>
      </w:r>
    </w:p>
    <w:p w:rsidR="00B23F1F" w:rsidRPr="00B23F1F" w:rsidRDefault="00B23F1F" w:rsidP="00C41301">
      <w:r>
        <w:t xml:space="preserve">On balance, feedback was positive. We received useful suggestions for improvements, such as: </w:t>
      </w:r>
      <w:r w:rsidRPr="00B23F1F">
        <w:t>consistency in the use of the comic metaphor, replacement of idioms, addition of branding and ownership, more use of colour to aid navigation</w:t>
      </w:r>
      <w:r w:rsidR="00E61282">
        <w:t>, value of some reference links</w:t>
      </w:r>
      <w:r w:rsidRPr="00B23F1F">
        <w:t xml:space="preserve">. </w:t>
      </w:r>
      <w:r>
        <w:t xml:space="preserve">Comments on the resource name prompted to </w:t>
      </w:r>
      <w:r w:rsidRPr="00B23F1F">
        <w:t>give a more meaningful title</w:t>
      </w:r>
      <w:r>
        <w:t>, so</w:t>
      </w:r>
      <w:r w:rsidR="00FC6F7C">
        <w:t xml:space="preserve"> </w:t>
      </w:r>
      <w:r w:rsidR="00C41301">
        <w:t xml:space="preserve">that </w:t>
      </w:r>
      <w:r w:rsidR="00FC6F7C">
        <w:t xml:space="preserve">'Click, copy, create' </w:t>
      </w:r>
      <w:r w:rsidR="00C41301">
        <w:t xml:space="preserve">became </w:t>
      </w:r>
      <w:proofErr w:type="gramStart"/>
      <w:r w:rsidR="00C41301">
        <w:t>'VIA'</w:t>
      </w:r>
      <w:r w:rsidR="00FC6F7C">
        <w:t xml:space="preserve">  (</w:t>
      </w:r>
      <w:proofErr w:type="gramEnd"/>
      <w:r>
        <w:t>‘</w:t>
      </w:r>
      <w:r w:rsidRPr="00B23F1F">
        <w:t>Video,</w:t>
      </w:r>
      <w:r w:rsidR="00E61282">
        <w:t xml:space="preserve"> </w:t>
      </w:r>
      <w:r w:rsidRPr="00B23F1F">
        <w:t>Images and Audio</w:t>
      </w:r>
      <w:r w:rsidR="00FC6F7C">
        <w:t>)</w:t>
      </w:r>
      <w:r w:rsidRPr="00B23F1F">
        <w:t xml:space="preserve">' </w:t>
      </w:r>
    </w:p>
    <w:p w:rsidR="00BD5A06" w:rsidRDefault="00BD5A06" w:rsidP="00BD5A06">
      <w:pPr>
        <w:pStyle w:val="Heading3"/>
      </w:pPr>
      <w:r>
        <w:t>Undergraduate</w:t>
      </w:r>
      <w:r w:rsidR="001B7610">
        <w:t xml:space="preserve"> perspectives</w:t>
      </w:r>
    </w:p>
    <w:p w:rsidR="00FF0CD3" w:rsidRDefault="00FF0CD3" w:rsidP="005078D2">
      <w:r w:rsidRPr="005078D2">
        <w:t xml:space="preserve">The students assessed their IT skills as </w:t>
      </w:r>
      <w:r w:rsidR="00C41301">
        <w:t xml:space="preserve">either </w:t>
      </w:r>
      <w:r w:rsidRPr="005078D2">
        <w:t>good</w:t>
      </w:r>
      <w:r w:rsidR="00C41301">
        <w:t xml:space="preserve"> or</w:t>
      </w:r>
      <w:r w:rsidR="00C81DF1">
        <w:t xml:space="preserve"> </w:t>
      </w:r>
      <w:r w:rsidRPr="005078D2">
        <w:t xml:space="preserve">very good. Nine of the ten students had been asked to insert images into their coursework, and had on other occasions chosen to do </w:t>
      </w:r>
      <w:proofErr w:type="gramStart"/>
      <w:r w:rsidRPr="005078D2">
        <w:t>so</w:t>
      </w:r>
      <w:r w:rsidR="00135991">
        <w:t xml:space="preserve"> </w:t>
      </w:r>
      <w:r w:rsidRPr="005078D2">
        <w:t>on</w:t>
      </w:r>
      <w:proofErr w:type="gramEnd"/>
      <w:r w:rsidRPr="005078D2">
        <w:t xml:space="preserve"> their own initiative in order to enhance their work. </w:t>
      </w:r>
    </w:p>
    <w:p w:rsidR="00FF0CD3" w:rsidRPr="005078D2" w:rsidRDefault="00675515" w:rsidP="005078D2">
      <w:r>
        <w:t xml:space="preserve">In phase 1 of the focus group, </w:t>
      </w:r>
      <w:r w:rsidR="00FF0CD3" w:rsidRPr="005078D2">
        <w:t>all students chose to search for a graphic and their approach was to use Google. Issues such as copyright, referencing and technical information were not addressed.</w:t>
      </w:r>
    </w:p>
    <w:p w:rsidR="00FF0CD3" w:rsidRPr="005078D2" w:rsidRDefault="00675515" w:rsidP="005078D2">
      <w:r>
        <w:rPr>
          <w:noProof/>
        </w:rPr>
        <w:t>In phase 2, a</w:t>
      </w:r>
      <w:proofErr w:type="spellStart"/>
      <w:r w:rsidR="00FF0CD3" w:rsidRPr="005078D2">
        <w:t>fter</w:t>
      </w:r>
      <w:proofErr w:type="spellEnd"/>
      <w:r w:rsidR="00FF0CD3" w:rsidRPr="005078D2">
        <w:t xml:space="preserve"> using </w:t>
      </w:r>
      <w:r w:rsidR="008F1BAE">
        <w:t>VIA</w:t>
      </w:r>
      <w:r>
        <w:t>,</w:t>
      </w:r>
      <w:r w:rsidR="00FF0CD3" w:rsidRPr="005078D2">
        <w:t xml:space="preserve"> students selected from the wider range of resources which they had been introduced to. In their commentaries on the second attempt:</w:t>
      </w:r>
    </w:p>
    <w:p w:rsidR="00FF0CD3" w:rsidRPr="005078D2" w:rsidRDefault="00FF0CD3" w:rsidP="00DB0422">
      <w:pPr>
        <w:numPr>
          <w:ilvl w:val="0"/>
          <w:numId w:val="4"/>
        </w:numPr>
      </w:pPr>
      <w:r w:rsidRPr="005078D2">
        <w:t xml:space="preserve">one student mentioned that is </w:t>
      </w:r>
      <w:r w:rsidR="008F1BAE">
        <w:t>“</w:t>
      </w:r>
      <w:r w:rsidRPr="005078D2">
        <w:t>not right to copy and paste information</w:t>
      </w:r>
      <w:r w:rsidR="008F1BAE">
        <w:t>”</w:t>
      </w:r>
    </w:p>
    <w:p w:rsidR="00FF0CD3" w:rsidRPr="005078D2" w:rsidRDefault="00FF0CD3" w:rsidP="00DB0422">
      <w:pPr>
        <w:numPr>
          <w:ilvl w:val="0"/>
          <w:numId w:val="4"/>
        </w:numPr>
      </w:pPr>
      <w:r w:rsidRPr="005078D2">
        <w:t>one student took on board technical information about size, colour, and distortion</w:t>
      </w:r>
    </w:p>
    <w:p w:rsidR="00FF0CD3" w:rsidRPr="005078D2" w:rsidRDefault="00FF0CD3" w:rsidP="00DB0422">
      <w:pPr>
        <w:numPr>
          <w:ilvl w:val="0"/>
          <w:numId w:val="4"/>
        </w:numPr>
      </w:pPr>
      <w:proofErr w:type="gramStart"/>
      <w:r w:rsidRPr="005078D2">
        <w:t>one</w:t>
      </w:r>
      <w:proofErr w:type="gramEnd"/>
      <w:r w:rsidRPr="005078D2">
        <w:t xml:space="preserve"> student used </w:t>
      </w:r>
      <w:r w:rsidR="008F1BAE">
        <w:t>“</w:t>
      </w:r>
      <w:r w:rsidRPr="005078D2">
        <w:t>academic resource</w:t>
      </w:r>
      <w:r w:rsidR="008F1BAE">
        <w:t>”</w:t>
      </w:r>
      <w:r w:rsidRPr="005078D2">
        <w:t xml:space="preserve"> in their list of search words for Google.</w:t>
      </w:r>
    </w:p>
    <w:p w:rsidR="00FF0CD3" w:rsidRPr="005078D2" w:rsidRDefault="00FF0CD3" w:rsidP="005078D2">
      <w:r w:rsidRPr="005078D2">
        <w:t>The second attempts also includ</w:t>
      </w:r>
      <w:r w:rsidR="008B7D86">
        <w:t>ed</w:t>
      </w:r>
      <w:r w:rsidRPr="005078D2">
        <w:t xml:space="preserve"> some form of referencing for the image, either immediately under the picture or at the end of the document.</w:t>
      </w:r>
    </w:p>
    <w:p w:rsidR="00FF0CD3" w:rsidRDefault="00FF0CD3" w:rsidP="005078D2">
      <w:r w:rsidRPr="005078D2">
        <w:t xml:space="preserve">In summary all students were positive </w:t>
      </w:r>
      <w:r w:rsidR="00B23F1F">
        <w:t xml:space="preserve">and offered comments such as </w:t>
      </w:r>
      <w:r w:rsidR="008F1BAE">
        <w:t>“</w:t>
      </w:r>
      <w:r w:rsidRPr="005078D2">
        <w:t>not bad</w:t>
      </w:r>
      <w:r w:rsidR="008F1BAE">
        <w:t>”</w:t>
      </w:r>
      <w:r w:rsidRPr="005078D2">
        <w:t xml:space="preserve">, </w:t>
      </w:r>
      <w:r w:rsidR="008F1BAE">
        <w:t>“</w:t>
      </w:r>
      <w:r w:rsidRPr="005078D2">
        <w:t>like it the way it is</w:t>
      </w:r>
      <w:r w:rsidR="008F1BAE">
        <w:t>”</w:t>
      </w:r>
      <w:r w:rsidRPr="005078D2">
        <w:t xml:space="preserve">. They liked the look though most would have liked colour to be used, finding the grey </w:t>
      </w:r>
      <w:r w:rsidR="008F1BAE">
        <w:t>“</w:t>
      </w:r>
      <w:r w:rsidRPr="005078D2">
        <w:t>unattractive</w:t>
      </w:r>
      <w:r w:rsidR="008F1BAE">
        <w:t>”</w:t>
      </w:r>
      <w:r w:rsidRPr="005078D2">
        <w:t xml:space="preserve">. Navigation was easy, but it was difficult to go back or to remember how far back something was. They liked the friendly language used and one commented positively on the </w:t>
      </w:r>
      <w:r w:rsidR="008F1BAE">
        <w:t>“</w:t>
      </w:r>
      <w:r w:rsidRPr="005078D2">
        <w:t>use of the man who seems to be explaining things</w:t>
      </w:r>
      <w:r w:rsidR="008F1BAE">
        <w:t>”</w:t>
      </w:r>
      <w:r w:rsidRPr="005078D2">
        <w:t xml:space="preserve">. The amount of context was </w:t>
      </w:r>
      <w:r w:rsidR="008F1BAE">
        <w:t>“</w:t>
      </w:r>
      <w:r w:rsidRPr="005078D2">
        <w:t>about right</w:t>
      </w:r>
      <w:r w:rsidR="008F1BAE">
        <w:t>”</w:t>
      </w:r>
      <w:r w:rsidRPr="005078D2">
        <w:t>, but the mention of semiotics put students off even though they understood the point of tailoring a message to an audience. The importance of sourcing and acknowledging the source was clearly recognised.</w:t>
      </w:r>
    </w:p>
    <w:p w:rsidR="007A5D31" w:rsidRPr="005078D2" w:rsidRDefault="005B0702" w:rsidP="007A5D31">
      <w:r>
        <w:t>F</w:t>
      </w:r>
      <w:r w:rsidR="007A5D31" w:rsidRPr="005078D2">
        <w:t xml:space="preserve">eedback from </w:t>
      </w:r>
      <w:r>
        <w:t xml:space="preserve">the undergraduate focus group was used to </w:t>
      </w:r>
      <w:r w:rsidR="007A5D31" w:rsidRPr="005078D2">
        <w:t xml:space="preserve">amend </w:t>
      </w:r>
      <w:r w:rsidR="00DA3CD6">
        <w:t>VIA</w:t>
      </w:r>
      <w:r>
        <w:t xml:space="preserve"> </w:t>
      </w:r>
      <w:r w:rsidR="007A5D31" w:rsidRPr="005078D2">
        <w:t>before the next phase of the evaluation</w:t>
      </w:r>
      <w:r>
        <w:t xml:space="preserve"> </w:t>
      </w:r>
      <w:r w:rsidR="007A5D31">
        <w:t>by MA students</w:t>
      </w:r>
      <w:r w:rsidR="007A5D31" w:rsidRPr="005078D2">
        <w:t>.</w:t>
      </w:r>
    </w:p>
    <w:p w:rsidR="00FF0CD3" w:rsidRDefault="006E09D9" w:rsidP="00BD5A06">
      <w:pPr>
        <w:pStyle w:val="Heading3"/>
      </w:pPr>
      <w:r>
        <w:t>MA</w:t>
      </w:r>
      <w:r w:rsidR="002E14BA">
        <w:t xml:space="preserve"> students’ </w:t>
      </w:r>
      <w:r w:rsidR="001B7610">
        <w:t>perspectives</w:t>
      </w:r>
    </w:p>
    <w:p w:rsidR="00135991" w:rsidRDefault="00135991" w:rsidP="00135991">
      <w:r>
        <w:t xml:space="preserve">Of the three groups of participants, this was the most negative overall – perhaps because they were asked to evaluate </w:t>
      </w:r>
      <w:r w:rsidR="00DA3CD6">
        <w:t>VIA</w:t>
      </w:r>
      <w:r>
        <w:t xml:space="preserve"> </w:t>
      </w:r>
      <w:r w:rsidR="005B0702">
        <w:t>as an artefact, rather than as a tool to support their learning.</w:t>
      </w:r>
      <w:r w:rsidR="00260934">
        <w:t xml:space="preserve"> Also, they worked with a visual analysis grid, which encourage</w:t>
      </w:r>
      <w:r w:rsidR="00EF7481">
        <w:t>d</w:t>
      </w:r>
      <w:r w:rsidR="00260934">
        <w:t xml:space="preserve"> critical evaluation.</w:t>
      </w:r>
    </w:p>
    <w:p w:rsidR="00EF7481" w:rsidRDefault="00301366" w:rsidP="00301366">
      <w:r>
        <w:t xml:space="preserve">Overall, the product was deemed well targeted at its audience and the visual delivery was </w:t>
      </w:r>
      <w:r w:rsidR="00EF7481">
        <w:t xml:space="preserve">essentially </w:t>
      </w:r>
      <w:r>
        <w:t>appropriate</w:t>
      </w:r>
      <w:r w:rsidR="00EF7481">
        <w:t>. For most students, t</w:t>
      </w:r>
      <w:r>
        <w:t xml:space="preserve">he combination of visuals and text was seen a particular strength: </w:t>
      </w:r>
      <w:r w:rsidR="008F1BAE">
        <w:t>“</w:t>
      </w:r>
      <w:r>
        <w:t xml:space="preserve">The text and the images complement each other very well throughout </w:t>
      </w:r>
      <w:r>
        <w:lastRenderedPageBreak/>
        <w:t>the document</w:t>
      </w:r>
      <w:r w:rsidR="008F1BAE">
        <w:t>”</w:t>
      </w:r>
      <w:r>
        <w:t xml:space="preserve"> (Student P)</w:t>
      </w:r>
      <w:r w:rsidR="00EF7481">
        <w:t>. Yet this was</w:t>
      </w:r>
      <w:r w:rsidR="008B7D86">
        <w:t xml:space="preserve"> not</w:t>
      </w:r>
      <w:r w:rsidR="00EF7481">
        <w:t xml:space="preserve"> everyone’s preference: Student J thought the resource could be presented more succinctly as a series of bullet points, particular for </w:t>
      </w:r>
      <w:r w:rsidR="002567D6">
        <w:t>mature</w:t>
      </w:r>
      <w:r w:rsidR="00EF7481">
        <w:t xml:space="preserve"> students. </w:t>
      </w:r>
      <w:r w:rsidR="002567D6">
        <w:t xml:space="preserve">While </w:t>
      </w:r>
      <w:r w:rsidR="00EF7481">
        <w:t>Student P agreed about the length</w:t>
      </w:r>
      <w:r w:rsidR="002567D6">
        <w:t>, she</w:t>
      </w:r>
      <w:r w:rsidR="00EF7481">
        <w:t xml:space="preserve"> believed that </w:t>
      </w:r>
      <w:r w:rsidR="008F1BAE">
        <w:t>“</w:t>
      </w:r>
      <w:r w:rsidR="00EF7481" w:rsidRPr="00EF7481">
        <w:t>a mixture of text and pictures</w:t>
      </w:r>
      <w:r w:rsidR="008F1BAE">
        <w:t>”</w:t>
      </w:r>
      <w:r w:rsidR="00EF7481">
        <w:t xml:space="preserve"> </w:t>
      </w:r>
      <w:r w:rsidR="00EF7481" w:rsidRPr="00EF7481">
        <w:t>w</w:t>
      </w:r>
      <w:r w:rsidR="00EF7481">
        <w:t xml:space="preserve">as appropriate. </w:t>
      </w:r>
    </w:p>
    <w:p w:rsidR="00301366" w:rsidRDefault="00EF7481" w:rsidP="00301366">
      <w:r>
        <w:t xml:space="preserve">The most commonly discussed feature was the use of an </w:t>
      </w:r>
      <w:r w:rsidR="008F1BAE">
        <w:t>“</w:t>
      </w:r>
      <w:r>
        <w:t>anchor man</w:t>
      </w:r>
      <w:r w:rsidR="008F1BAE">
        <w:t>”</w:t>
      </w:r>
      <w:r>
        <w:t xml:space="preserve">: this was </w:t>
      </w:r>
      <w:r w:rsidR="002567D6">
        <w:t xml:space="preserve">mostly </w:t>
      </w:r>
      <w:r>
        <w:t xml:space="preserve">seen as </w:t>
      </w:r>
      <w:r w:rsidR="00301366">
        <w:t xml:space="preserve">a success factor because he </w:t>
      </w:r>
      <w:r w:rsidR="008F1BAE">
        <w:t>“</w:t>
      </w:r>
      <w:r w:rsidR="00301366">
        <w:t>leads the user throughout the entire document... [</w:t>
      </w:r>
      <w:proofErr w:type="gramStart"/>
      <w:r w:rsidR="00301366">
        <w:t>and</w:t>
      </w:r>
      <w:proofErr w:type="gramEnd"/>
      <w:r w:rsidR="00301366">
        <w:t xml:space="preserve">] contributes to ethos as he establishes a </w:t>
      </w:r>
      <w:r w:rsidR="008F1BAE">
        <w:t>“</w:t>
      </w:r>
      <w:r w:rsidR="00301366">
        <w:t>visual connection</w:t>
      </w:r>
      <w:r w:rsidR="008F1BAE">
        <w:t>”</w:t>
      </w:r>
      <w:r w:rsidR="00301366">
        <w:t xml:space="preserve"> with the audience/user</w:t>
      </w:r>
      <w:r w:rsidR="008F1BAE">
        <w:t>”</w:t>
      </w:r>
      <w:r w:rsidR="00301366">
        <w:t xml:space="preserve"> (Student C); his </w:t>
      </w:r>
      <w:r w:rsidR="008F1BAE">
        <w:t>“</w:t>
      </w:r>
      <w:r w:rsidR="00301366">
        <w:t>posture and gestures... reinforce what the text is stating or asking</w:t>
      </w:r>
      <w:r w:rsidR="008F1BAE">
        <w:t>”</w:t>
      </w:r>
      <w:r w:rsidR="00301366">
        <w:t xml:space="preserve"> (Student P).</w:t>
      </w:r>
      <w:r>
        <w:t xml:space="preserve"> However, </w:t>
      </w:r>
      <w:r w:rsidR="002567D6">
        <w:t xml:space="preserve">Student J (an older learner) felt the anchor man’s presence </w:t>
      </w:r>
      <w:r w:rsidR="008F1BAE">
        <w:t>“</w:t>
      </w:r>
      <w:r w:rsidR="002567D6">
        <w:t>insulted his intelligence</w:t>
      </w:r>
      <w:r w:rsidR="008F1BAE">
        <w:t>”</w:t>
      </w:r>
      <w:r w:rsidR="002567D6">
        <w:t>.</w:t>
      </w:r>
    </w:p>
    <w:p w:rsidR="00301366" w:rsidRDefault="00EF7481" w:rsidP="00301366">
      <w:r>
        <w:t>T</w:t>
      </w:r>
      <w:r w:rsidR="00301366">
        <w:t xml:space="preserve">he MA students identified a number of areas where </w:t>
      </w:r>
      <w:r>
        <w:t>revisions</w:t>
      </w:r>
      <w:r w:rsidR="00301366">
        <w:t xml:space="preserve"> could be made:</w:t>
      </w:r>
    </w:p>
    <w:p w:rsidR="00EB254D" w:rsidRPr="00EB254D" w:rsidRDefault="00EB254D" w:rsidP="00C41301">
      <w:pPr>
        <w:numPr>
          <w:ilvl w:val="0"/>
          <w:numId w:val="4"/>
        </w:numPr>
      </w:pPr>
      <w:r>
        <w:t>The</w:t>
      </w:r>
      <w:r w:rsidRPr="00EB254D">
        <w:t xml:space="preserve"> </w:t>
      </w:r>
      <w:r>
        <w:t>‘</w:t>
      </w:r>
      <w:proofErr w:type="spellStart"/>
      <w:r w:rsidRPr="00EB254D">
        <w:t>i</w:t>
      </w:r>
      <w:r w:rsidR="00C41301">
        <w:t>P</w:t>
      </w:r>
      <w:r w:rsidRPr="00EB254D">
        <w:t>hone</w:t>
      </w:r>
      <w:proofErr w:type="spellEnd"/>
      <w:r>
        <w:t xml:space="preserve">’ format should either be discarded in the first two </w:t>
      </w:r>
      <w:r w:rsidRPr="00EB254D">
        <w:t>pages,</w:t>
      </w:r>
      <w:r>
        <w:t xml:space="preserve"> or </w:t>
      </w:r>
      <w:r w:rsidRPr="00EB254D">
        <w:t>kept throughout the 54 pages</w:t>
      </w:r>
      <w:r>
        <w:t xml:space="preserve"> (Student</w:t>
      </w:r>
      <w:r w:rsidR="00EF7481">
        <w:t>s</w:t>
      </w:r>
      <w:r>
        <w:t xml:space="preserve"> S</w:t>
      </w:r>
      <w:r w:rsidR="00EF7481">
        <w:t xml:space="preserve"> and J</w:t>
      </w:r>
      <w:r>
        <w:t>)</w:t>
      </w:r>
    </w:p>
    <w:p w:rsidR="00301366" w:rsidRDefault="00301366" w:rsidP="00301366">
      <w:pPr>
        <w:numPr>
          <w:ilvl w:val="0"/>
          <w:numId w:val="4"/>
        </w:numPr>
      </w:pPr>
      <w:r>
        <w:t xml:space="preserve">navigation was perceived as somewhat problematic, notably across the different chapters and with the 'home page'; however, the navigation icons </w:t>
      </w:r>
      <w:r w:rsidR="008F1BAE">
        <w:t>“</w:t>
      </w:r>
      <w:r>
        <w:t>are immediately recognisable as they are the same icons commonly found on videos, computers, etc</w:t>
      </w:r>
      <w:r w:rsidR="008F1BAE">
        <w:t>”</w:t>
      </w:r>
      <w:r>
        <w:t xml:space="preserve"> (Student P)</w:t>
      </w:r>
    </w:p>
    <w:p w:rsidR="00301366" w:rsidRDefault="00301366" w:rsidP="00301366">
      <w:pPr>
        <w:numPr>
          <w:ilvl w:val="0"/>
          <w:numId w:val="4"/>
        </w:numPr>
      </w:pPr>
      <w:r>
        <w:t xml:space="preserve">typographic choices needed to be more limited, to create consistency across the </w:t>
      </w:r>
      <w:r w:rsidR="00DA3CD6">
        <w:t>VIA</w:t>
      </w:r>
      <w:r>
        <w:t xml:space="preserve"> resource, but the choice of Comic Sans MS was seen as </w:t>
      </w:r>
      <w:r w:rsidR="008F1BAE">
        <w:t>“</w:t>
      </w:r>
      <w:r w:rsidR="00EF7481">
        <w:t>juvenile</w:t>
      </w:r>
      <w:r w:rsidR="008F1BAE">
        <w:t>”</w:t>
      </w:r>
      <w:r w:rsidR="00EF7481">
        <w:t xml:space="preserve"> (Student S and J) or </w:t>
      </w:r>
      <w:r>
        <w:t xml:space="preserve">apposite because it </w:t>
      </w:r>
      <w:r w:rsidR="008F1BAE">
        <w:t>“</w:t>
      </w:r>
      <w:r>
        <w:t>establishes a ‘colloquial’ tone to the document which is in line with the target audience</w:t>
      </w:r>
      <w:r w:rsidR="008F1BAE">
        <w:t>”</w:t>
      </w:r>
      <w:r w:rsidR="00EF7481">
        <w:t xml:space="preserve"> (Student C)</w:t>
      </w:r>
    </w:p>
    <w:p w:rsidR="00EF7481" w:rsidRDefault="00301366" w:rsidP="00301366">
      <w:pPr>
        <w:numPr>
          <w:ilvl w:val="0"/>
          <w:numId w:val="4"/>
        </w:numPr>
      </w:pPr>
      <w:r>
        <w:t>the use of the SHU logo needs to be more carefully considered</w:t>
      </w:r>
    </w:p>
    <w:p w:rsidR="00873818" w:rsidRPr="00135991" w:rsidRDefault="00EF7481" w:rsidP="00301366">
      <w:pPr>
        <w:numPr>
          <w:ilvl w:val="0"/>
          <w:numId w:val="4"/>
        </w:numPr>
      </w:pPr>
      <w:r>
        <w:t>f</w:t>
      </w:r>
      <w:r w:rsidR="00301366">
        <w:t>ormat issues were also considered</w:t>
      </w:r>
      <w:r w:rsidR="002567D6">
        <w:t>; n</w:t>
      </w:r>
      <w:r w:rsidR="003060C2">
        <w:t>otably</w:t>
      </w:r>
      <w:r w:rsidR="00301366">
        <w:t xml:space="preserve">, Student C suggested to </w:t>
      </w:r>
      <w:r w:rsidR="008F1BAE">
        <w:t>“</w:t>
      </w:r>
      <w:r w:rsidR="00301366">
        <w:t>give the user the choice to either select a Flash format with real video and sound extracts, or a static HTML format which would include a downloadable PDF at the end in case the user needs to print it out or send it via email</w:t>
      </w:r>
      <w:r w:rsidR="008F1BAE">
        <w:t>”</w:t>
      </w:r>
      <w:r w:rsidR="003060C2">
        <w:t xml:space="preserve"> – a view supported by other students.</w:t>
      </w:r>
    </w:p>
    <w:p w:rsidR="00BD5A06" w:rsidRPr="00BD5A06" w:rsidRDefault="00BD5A06" w:rsidP="00BD5A06">
      <w:pPr>
        <w:pStyle w:val="Heading3"/>
      </w:pPr>
      <w:r>
        <w:t xml:space="preserve">Information Advisers’ </w:t>
      </w:r>
      <w:r w:rsidR="001B7610">
        <w:t>perspectives</w:t>
      </w:r>
    </w:p>
    <w:p w:rsidR="007A5D31" w:rsidRDefault="007A5D31" w:rsidP="003919D2">
      <w:r w:rsidRPr="007A5D31">
        <w:t>Overall</w:t>
      </w:r>
      <w:r>
        <w:t>,</w:t>
      </w:r>
      <w:r w:rsidRPr="007A5D31">
        <w:t xml:space="preserve"> </w:t>
      </w:r>
      <w:r w:rsidR="003919D2" w:rsidRPr="007A5D31">
        <w:t>Information Advisers</w:t>
      </w:r>
      <w:r w:rsidR="0054591E" w:rsidRPr="007A5D31">
        <w:t xml:space="preserve"> thought the content was comprehensive with the right level of</w:t>
      </w:r>
      <w:r w:rsidR="0054591E">
        <w:t xml:space="preserve"> information and detail</w:t>
      </w:r>
      <w:r>
        <w:t>; t</w:t>
      </w:r>
      <w:r w:rsidRPr="00D102C8">
        <w:t>he comic style approach had unanimous appeal</w:t>
      </w:r>
      <w:r>
        <w:t>.</w:t>
      </w:r>
      <w:r w:rsidR="0054591E">
        <w:t xml:space="preserve"> One said </w:t>
      </w:r>
      <w:r w:rsidR="00FE537B">
        <w:t xml:space="preserve">that </w:t>
      </w:r>
      <w:r w:rsidR="008F1BAE">
        <w:t>“</w:t>
      </w:r>
      <w:r w:rsidR="0054591E">
        <w:t>the links to external resources are good too and provide a different approach and further information if you need to follow it.</w:t>
      </w:r>
      <w:r w:rsidR="008F1BAE">
        <w:t>”</w:t>
      </w:r>
      <w:r w:rsidR="0054591E">
        <w:t xml:space="preserve"> </w:t>
      </w:r>
      <w:r w:rsidR="00C54C1A">
        <w:t>The</w:t>
      </w:r>
      <w:r w:rsidR="0054591E" w:rsidRPr="00080178">
        <w:t xml:space="preserve"> Adviser who s</w:t>
      </w:r>
      <w:r w:rsidR="0054591E">
        <w:t>u</w:t>
      </w:r>
      <w:r w:rsidR="0054591E" w:rsidRPr="00080178">
        <w:t xml:space="preserve">pports the </w:t>
      </w:r>
      <w:r w:rsidR="00FE537B">
        <w:t>A</w:t>
      </w:r>
      <w:r w:rsidR="0054591E" w:rsidRPr="00080178">
        <w:t>rts area s</w:t>
      </w:r>
      <w:r w:rsidR="0054591E">
        <w:t>aid</w:t>
      </w:r>
      <w:r w:rsidR="0054591E" w:rsidRPr="00080178">
        <w:t xml:space="preserve"> she would </w:t>
      </w:r>
      <w:r w:rsidR="0054591E">
        <w:t>use</w:t>
      </w:r>
      <w:r w:rsidR="0054591E" w:rsidRPr="00080178">
        <w:t xml:space="preserve"> it within her literacy sessions</w:t>
      </w:r>
      <w:r w:rsidR="0054591E">
        <w:t xml:space="preserve">, </w:t>
      </w:r>
      <w:r w:rsidR="00C54C1A">
        <w:t xml:space="preserve">and </w:t>
      </w:r>
      <w:r w:rsidR="0054591E" w:rsidRPr="00080178">
        <w:t>others said they would find it useful to refer lecturers and students to should the need arise.</w:t>
      </w:r>
      <w:r w:rsidR="0054591E">
        <w:t xml:space="preserve"> </w:t>
      </w:r>
      <w:r w:rsidR="00FE537B">
        <w:t>Another Adviser</w:t>
      </w:r>
      <w:r w:rsidR="0054591E" w:rsidRPr="00080178">
        <w:t xml:space="preserve"> s</w:t>
      </w:r>
      <w:r w:rsidR="0054591E">
        <w:t xml:space="preserve">aid </w:t>
      </w:r>
      <w:r w:rsidR="008F1BAE">
        <w:t>“</w:t>
      </w:r>
      <w:r w:rsidR="0054591E" w:rsidRPr="00080178">
        <w:t>the knowledge con</w:t>
      </w:r>
      <w:r w:rsidR="0054591E">
        <w:t>tained</w:t>
      </w:r>
      <w:r w:rsidR="0054591E" w:rsidRPr="00080178">
        <w:t xml:space="preserve"> within the resources is very useful for </w:t>
      </w:r>
      <w:proofErr w:type="gramStart"/>
      <w:r w:rsidR="0054591E" w:rsidRPr="00080178">
        <w:t>myself</w:t>
      </w:r>
      <w:proofErr w:type="gramEnd"/>
      <w:r w:rsidR="0054591E" w:rsidRPr="00080178">
        <w:t>.</w:t>
      </w:r>
      <w:r w:rsidR="008F1BAE">
        <w:t>”</w:t>
      </w:r>
    </w:p>
    <w:p w:rsidR="00D46263" w:rsidRPr="008C1656" w:rsidRDefault="007A5D31" w:rsidP="008C1656">
      <w:pPr>
        <w:rPr>
          <w:color w:val="00B050"/>
        </w:rPr>
      </w:pPr>
      <w:r>
        <w:t>As in the other tw</w:t>
      </w:r>
      <w:r w:rsidR="005E76F6">
        <w:t>o sets of participants, opinion</w:t>
      </w:r>
      <w:r>
        <w:t xml:space="preserve"> was divided in some aspects. For example, w</w:t>
      </w:r>
      <w:r w:rsidR="00F2121F">
        <w:t>hilst one</w:t>
      </w:r>
      <w:r w:rsidR="0054591E">
        <w:t xml:space="preserve"> </w:t>
      </w:r>
      <w:r>
        <w:t xml:space="preserve">Adviser </w:t>
      </w:r>
      <w:r w:rsidR="0054591E">
        <w:t xml:space="preserve">favoured the predominantly black and white approach with colour only used to add impact, </w:t>
      </w:r>
      <w:r>
        <w:t xml:space="preserve">the </w:t>
      </w:r>
      <w:r w:rsidR="00F2121F">
        <w:t>others</w:t>
      </w:r>
      <w:r w:rsidR="0054591E">
        <w:t xml:space="preserve"> thought more use of colour would improve the resource.</w:t>
      </w:r>
      <w:r>
        <w:t xml:space="preserve"> </w:t>
      </w:r>
      <w:r w:rsidR="0054591E">
        <w:t>O</w:t>
      </w:r>
      <w:r w:rsidR="0054591E" w:rsidRPr="00080178">
        <w:t xml:space="preserve">ne person said navigation </w:t>
      </w:r>
      <w:r w:rsidR="0054591E">
        <w:t>wa</w:t>
      </w:r>
      <w:r w:rsidR="0054591E" w:rsidRPr="00080178">
        <w:t>s easy, but s</w:t>
      </w:r>
      <w:r w:rsidR="0054591E">
        <w:t>e</w:t>
      </w:r>
      <w:r w:rsidR="0054591E" w:rsidRPr="00080178">
        <w:t>veral people commen</w:t>
      </w:r>
      <w:r w:rsidR="0054591E">
        <w:t>t</w:t>
      </w:r>
      <w:r w:rsidR="0054591E" w:rsidRPr="00080178">
        <w:t>ed that they couldn't navigate to specific sections</w:t>
      </w:r>
      <w:r>
        <w:t xml:space="preserve"> (c</w:t>
      </w:r>
      <w:r w:rsidR="0054591E" w:rsidRPr="00080178">
        <w:t>learly they hadn't re</w:t>
      </w:r>
      <w:r w:rsidR="0054591E">
        <w:t>alised</w:t>
      </w:r>
      <w:r w:rsidR="0054591E" w:rsidRPr="00080178">
        <w:t xml:space="preserve"> that it is possib</w:t>
      </w:r>
      <w:r w:rsidR="0054591E">
        <w:t>le</w:t>
      </w:r>
      <w:r w:rsidR="0054591E" w:rsidRPr="00080178">
        <w:t xml:space="preserve"> to do so from the 'menu' on the opening screen</w:t>
      </w:r>
      <w:r>
        <w:t>)</w:t>
      </w:r>
      <w:r w:rsidR="0054591E" w:rsidRPr="00080178">
        <w:t>.</w:t>
      </w:r>
    </w:p>
    <w:p w:rsidR="00C41301" w:rsidRDefault="00C41301" w:rsidP="005078D2">
      <w:pPr>
        <w:pStyle w:val="Heading2"/>
      </w:pPr>
      <w:r>
        <w:t>Conclusions</w:t>
      </w:r>
    </w:p>
    <w:p w:rsidR="008E34BA" w:rsidRPr="009A5A05" w:rsidRDefault="0058271A" w:rsidP="00517904">
      <w:pPr>
        <w:pStyle w:val="CommentText"/>
        <w:rPr>
          <w:sz w:val="22"/>
          <w:szCs w:val="22"/>
        </w:rPr>
      </w:pPr>
      <w:r w:rsidRPr="009A5A05">
        <w:rPr>
          <w:sz w:val="22"/>
          <w:szCs w:val="22"/>
        </w:rPr>
        <w:t xml:space="preserve">The Project Team remained </w:t>
      </w:r>
      <w:proofErr w:type="gramStart"/>
      <w:r w:rsidRPr="009A5A05">
        <w:rPr>
          <w:sz w:val="22"/>
          <w:szCs w:val="22"/>
        </w:rPr>
        <w:t>focused,</w:t>
      </w:r>
      <w:proofErr w:type="gramEnd"/>
      <w:r w:rsidRPr="009A5A05">
        <w:rPr>
          <w:sz w:val="22"/>
          <w:szCs w:val="22"/>
        </w:rPr>
        <w:t xml:space="preserve"> worked well together and produced a valuable resource within the budgetary constraints.  In the early planning stages there was a temptation for enthusiasm to push the boundaries of the project; the scope had to be redefined to a realistic level for the time and resources available. Even so, we underestimated the time need for the production. In trying to be all encompassing the end product may not have as great an impact as it would if it had been targeted at a specific </w:t>
      </w:r>
      <w:r w:rsidRPr="009A5A05">
        <w:rPr>
          <w:sz w:val="22"/>
          <w:szCs w:val="22"/>
        </w:rPr>
        <w:lastRenderedPageBreak/>
        <w:t xml:space="preserve">subject group and had greater depth. </w:t>
      </w:r>
      <w:r w:rsidR="008E34BA" w:rsidRPr="009A5A05">
        <w:rPr>
          <w:sz w:val="22"/>
          <w:szCs w:val="22"/>
        </w:rPr>
        <w:t>Overall</w:t>
      </w:r>
      <w:r w:rsidRPr="009A5A05">
        <w:rPr>
          <w:sz w:val="22"/>
          <w:szCs w:val="22"/>
        </w:rPr>
        <w:t xml:space="preserve"> the VIA resource was well received by</w:t>
      </w:r>
      <w:r w:rsidR="008E34BA" w:rsidRPr="009A5A05">
        <w:rPr>
          <w:sz w:val="22"/>
          <w:szCs w:val="22"/>
        </w:rPr>
        <w:t xml:space="preserve"> the three user groups involved, in the sense that the resource helped develop awareness of media resource use. A number of presentational issues were noted (and acted upon) </w:t>
      </w:r>
      <w:r w:rsidRPr="009A5A05">
        <w:rPr>
          <w:sz w:val="22"/>
          <w:szCs w:val="22"/>
        </w:rPr>
        <w:t xml:space="preserve">but these </w:t>
      </w:r>
      <w:r w:rsidR="009A5A05" w:rsidRPr="009A5A05">
        <w:rPr>
          <w:sz w:val="22"/>
          <w:szCs w:val="22"/>
        </w:rPr>
        <w:t xml:space="preserve">did </w:t>
      </w:r>
      <w:r w:rsidR="00517904" w:rsidRPr="009A5A05">
        <w:rPr>
          <w:sz w:val="22"/>
          <w:szCs w:val="22"/>
        </w:rPr>
        <w:t>not deter</w:t>
      </w:r>
      <w:r w:rsidRPr="009A5A05">
        <w:rPr>
          <w:sz w:val="22"/>
          <w:szCs w:val="22"/>
        </w:rPr>
        <w:t xml:space="preserve"> from the main messages.</w:t>
      </w:r>
    </w:p>
    <w:p w:rsidR="00D67DEB" w:rsidRPr="009A5A05" w:rsidRDefault="00D67DEB">
      <w:pPr>
        <w:rPr>
          <w:color w:val="4F81BD" w:themeColor="accent1"/>
        </w:rPr>
      </w:pPr>
    </w:p>
    <w:p w:rsidR="00FF0CD3" w:rsidRDefault="00FF0CD3" w:rsidP="005078D2">
      <w:pPr>
        <w:pStyle w:val="Heading2"/>
      </w:pPr>
      <w:r w:rsidRPr="00FF0CD3">
        <w:t>Further Development</w:t>
      </w:r>
    </w:p>
    <w:p w:rsidR="00FF0CD3" w:rsidRPr="005078D2" w:rsidRDefault="00DB0422" w:rsidP="005078D2">
      <w:r>
        <w:t>K</w:t>
      </w:r>
      <w:r w:rsidR="00FF0CD3" w:rsidRPr="005078D2">
        <w:t>eep</w:t>
      </w:r>
      <w:r>
        <w:t>ing</w:t>
      </w:r>
      <w:r w:rsidR="00FF0CD3" w:rsidRPr="005078D2">
        <w:t xml:space="preserve"> </w:t>
      </w:r>
      <w:r w:rsidR="008F1BAE">
        <w:t xml:space="preserve">VIA </w:t>
      </w:r>
      <w:r w:rsidR="00FF0CD3" w:rsidRPr="005078D2">
        <w:t>up</w:t>
      </w:r>
      <w:r w:rsidR="00FE537B">
        <w:t>-</w:t>
      </w:r>
      <w:r w:rsidR="00FF0CD3" w:rsidRPr="005078D2">
        <w:t>to</w:t>
      </w:r>
      <w:r w:rsidR="00FE537B">
        <w:t>-</w:t>
      </w:r>
      <w:r w:rsidR="00FF0CD3" w:rsidRPr="005078D2">
        <w:t>date</w:t>
      </w:r>
      <w:r>
        <w:t xml:space="preserve"> is essential</w:t>
      </w:r>
      <w:r w:rsidR="00FF0CD3" w:rsidRPr="005078D2">
        <w:t>. Whilst the basic principles will remain true, external links to useful 'tools' and sources of reusable materials will need to be reviewed and updated over time. This work will be undertaken by the Media Materials and Copyright Team and can easily be done as the resource has been developed in an editable format.</w:t>
      </w:r>
      <w:r w:rsidR="00FE537B">
        <w:t xml:space="preserve"> However, t</w:t>
      </w:r>
      <w:r w:rsidR="00E16D3F">
        <w:t xml:space="preserve">he impact and value of </w:t>
      </w:r>
      <w:r w:rsidR="008F1BAE">
        <w:t xml:space="preserve">VIA </w:t>
      </w:r>
      <w:r w:rsidR="00FF0CD3" w:rsidRPr="005078D2">
        <w:t xml:space="preserve">will only be realised if the resource is widely available. Learning and Information Services are currently working on an Information Literacy Strategy  and as part of that project are looking to bring together the full range of resources and learning objects which have been developed to enable the development of literacy skills. </w:t>
      </w:r>
      <w:r w:rsidR="00DA3CD6">
        <w:t>VIA</w:t>
      </w:r>
      <w:r w:rsidR="00FF0CD3" w:rsidRPr="005078D2">
        <w:t xml:space="preserve"> will be included in that portfolio and thereby made widely available to the SHU community.</w:t>
      </w:r>
    </w:p>
    <w:p w:rsidR="00FF0CD3" w:rsidRPr="00E7068A" w:rsidRDefault="00FF0CD3" w:rsidP="005078D2">
      <w:pPr>
        <w:pStyle w:val="Heading2"/>
      </w:pPr>
      <w:r w:rsidRPr="00E7068A">
        <w:t>Further reading</w:t>
      </w:r>
    </w:p>
    <w:p w:rsidR="003A1FD2" w:rsidRDefault="00F05685" w:rsidP="00871CAB">
      <w:r>
        <w:t xml:space="preserve">Purdy, L., Quinn, S., </w:t>
      </w:r>
      <w:proofErr w:type="spellStart"/>
      <w:r>
        <w:t>Dujardin</w:t>
      </w:r>
      <w:proofErr w:type="spellEnd"/>
      <w:r>
        <w:t xml:space="preserve">, A.-F., and </w:t>
      </w:r>
      <w:proofErr w:type="spellStart"/>
      <w:r>
        <w:t>Cunliffe-Charlesworth</w:t>
      </w:r>
      <w:proofErr w:type="spellEnd"/>
      <w:r>
        <w:t xml:space="preserve">, H. (2009) </w:t>
      </w:r>
      <w:r w:rsidR="00871CAB" w:rsidRPr="00871CAB">
        <w:rPr>
          <w:i/>
          <w:iCs/>
        </w:rPr>
        <w:t>Click copy, create; media literacy skills for discovering, evaluating and reusing sound and visual resources.</w:t>
      </w:r>
      <w:r>
        <w:rPr>
          <w:color w:val="0000FF"/>
        </w:rPr>
        <w:t xml:space="preserve"> </w:t>
      </w:r>
      <w:r>
        <w:t>S</w:t>
      </w:r>
      <w:r w:rsidR="00FF0CD3">
        <w:t>heffield Hallam University CETL event</w:t>
      </w:r>
      <w:r>
        <w:t xml:space="preserve">, </w:t>
      </w:r>
      <w:smartTag w:uri="urn:schemas-microsoft-com:office:smarttags" w:element="place">
        <w:r>
          <w:t>Sheffield</w:t>
        </w:r>
      </w:smartTag>
      <w:r>
        <w:t xml:space="preserve"> 17 July 2009</w:t>
      </w:r>
    </w:p>
    <w:p w:rsidR="003A1FD2" w:rsidRDefault="003A1FD2" w:rsidP="003A1FD2">
      <w:pPr>
        <w:pStyle w:val="Heading2"/>
      </w:pPr>
      <w:r w:rsidRPr="00E7068A">
        <w:t>References</w:t>
      </w:r>
    </w:p>
    <w:p w:rsidR="00873818" w:rsidRPr="00873818" w:rsidRDefault="00F248C9" w:rsidP="00873818">
      <w:pPr>
        <w:pStyle w:val="StyleLeft0cmHanging127cmAfter0pt"/>
        <w:spacing w:after="0"/>
        <w:rPr>
          <w:rFonts w:cs="Arial"/>
        </w:rPr>
      </w:pPr>
      <w:r>
        <w:fldChar w:fldCharType="begin"/>
      </w:r>
      <w:r w:rsidR="003A1FD2">
        <w:instrText xml:space="preserve"> ADDIN EN.REFLIST </w:instrText>
      </w:r>
      <w:r>
        <w:fldChar w:fldCharType="separate"/>
      </w:r>
      <w:r w:rsidR="00873818" w:rsidRPr="00873818">
        <w:rPr>
          <w:rFonts w:cs="Arial"/>
        </w:rPr>
        <w:t xml:space="preserve">Dumas, J. S. and Redish, J. C. (1999) </w:t>
      </w:r>
      <w:r w:rsidR="00873818" w:rsidRPr="00873818">
        <w:rPr>
          <w:rFonts w:cs="Arial"/>
          <w:i/>
        </w:rPr>
        <w:t xml:space="preserve">A Practical Guide to Usability Testing. </w:t>
      </w:r>
      <w:r w:rsidR="00873818" w:rsidRPr="00873818">
        <w:rPr>
          <w:rFonts w:cs="Arial"/>
        </w:rPr>
        <w:t>Exeter: Intellect.</w:t>
      </w:r>
    </w:p>
    <w:p w:rsidR="00873818" w:rsidRPr="00873818" w:rsidRDefault="00873818" w:rsidP="00873818">
      <w:pPr>
        <w:pStyle w:val="StyleLeft0cmHanging127cmAfter0pt"/>
        <w:spacing w:after="0"/>
        <w:rPr>
          <w:rFonts w:cs="Arial"/>
        </w:rPr>
      </w:pPr>
      <w:r w:rsidRPr="00873818">
        <w:rPr>
          <w:rFonts w:cs="Arial"/>
        </w:rPr>
        <w:t xml:space="preserve">Kostelnick, C. and Roberts, D. D. (1998) </w:t>
      </w:r>
      <w:r w:rsidRPr="00873818">
        <w:rPr>
          <w:rFonts w:cs="Arial"/>
          <w:i/>
        </w:rPr>
        <w:t>Designing Visual Language: Strategies for Professional Communicators.</w:t>
      </w:r>
      <w:r w:rsidRPr="00873818">
        <w:rPr>
          <w:rFonts w:cs="Arial"/>
        </w:rPr>
        <w:t xml:space="preserve"> Longman (Allyn and Bacon).</w:t>
      </w:r>
    </w:p>
    <w:p w:rsidR="00873818" w:rsidRPr="00873818" w:rsidRDefault="00873818" w:rsidP="00873818">
      <w:pPr>
        <w:pStyle w:val="StyleLeft0cmHanging127cmAfter0pt"/>
        <w:spacing w:after="0"/>
        <w:rPr>
          <w:rFonts w:cs="Arial"/>
        </w:rPr>
      </w:pPr>
      <w:r w:rsidRPr="00873818">
        <w:rPr>
          <w:rFonts w:cs="Arial"/>
        </w:rPr>
        <w:t xml:space="preserve">Little, D. (Ed.) (2003) </w:t>
      </w:r>
      <w:r w:rsidRPr="00873818">
        <w:rPr>
          <w:rFonts w:cs="Arial"/>
          <w:i/>
        </w:rPr>
        <w:t xml:space="preserve">Learner Autonomy in Foreign Language Classrooms: Teacher, Learner, Curriculum and Assessment. </w:t>
      </w:r>
      <w:r w:rsidRPr="00873818">
        <w:rPr>
          <w:rFonts w:cs="Arial"/>
        </w:rPr>
        <w:t>Dublin: Authentik.</w:t>
      </w:r>
    </w:p>
    <w:p w:rsidR="00873818" w:rsidRPr="00873818" w:rsidRDefault="00873818" w:rsidP="00873818">
      <w:pPr>
        <w:pStyle w:val="StyleLeft0cmHanging127cmAfter0pt"/>
        <w:spacing w:after="0"/>
        <w:rPr>
          <w:rFonts w:cs="Arial"/>
        </w:rPr>
      </w:pPr>
      <w:r w:rsidRPr="00873818">
        <w:rPr>
          <w:rFonts w:cs="Arial"/>
        </w:rPr>
        <w:t xml:space="preserve">Nielsen, J. and Mack, R. L. (1994) </w:t>
      </w:r>
      <w:r w:rsidRPr="00873818">
        <w:rPr>
          <w:rFonts w:cs="Arial"/>
          <w:i/>
        </w:rPr>
        <w:t xml:space="preserve">Usability Inspection Methods. </w:t>
      </w:r>
      <w:r w:rsidRPr="00873818">
        <w:rPr>
          <w:rFonts w:cs="Arial"/>
        </w:rPr>
        <w:t>New York, NY: Wiley.</w:t>
      </w:r>
    </w:p>
    <w:p w:rsidR="00873818" w:rsidRPr="00873818" w:rsidRDefault="00873818" w:rsidP="00873818">
      <w:pPr>
        <w:pStyle w:val="StyleLeft0cmHanging127cmAfter0pt"/>
        <w:spacing w:after="0"/>
        <w:rPr>
          <w:rFonts w:cs="Arial"/>
        </w:rPr>
      </w:pPr>
      <w:r w:rsidRPr="00873818">
        <w:rPr>
          <w:rFonts w:cs="Arial"/>
        </w:rPr>
        <w:t xml:space="preserve">Rose, G. (2007) </w:t>
      </w:r>
      <w:r w:rsidRPr="00873818">
        <w:rPr>
          <w:rFonts w:cs="Arial"/>
          <w:i/>
        </w:rPr>
        <w:t xml:space="preserve">Visual Methodologies: An Introduction to the Interpretation of Visual Methods. </w:t>
      </w:r>
      <w:r w:rsidRPr="00873818">
        <w:rPr>
          <w:rFonts w:cs="Arial"/>
        </w:rPr>
        <w:t>2nd ed. London: Sage.</w:t>
      </w:r>
    </w:p>
    <w:p w:rsidR="00873818" w:rsidRPr="00873818" w:rsidRDefault="00873818" w:rsidP="00873818">
      <w:pPr>
        <w:pStyle w:val="StyleLeft0cmHanging127cmAfter0pt"/>
        <w:spacing w:after="0"/>
        <w:rPr>
          <w:rFonts w:cs="Arial"/>
        </w:rPr>
      </w:pPr>
      <w:r w:rsidRPr="00873818">
        <w:rPr>
          <w:rFonts w:cs="Arial"/>
        </w:rPr>
        <w:t xml:space="preserve">Scharle, A. and Szabo, A. (2000) </w:t>
      </w:r>
      <w:r w:rsidRPr="00873818">
        <w:rPr>
          <w:rFonts w:cs="Arial"/>
          <w:i/>
        </w:rPr>
        <w:t xml:space="preserve">Learner Autonomy: a Guide to Developing Learner Responsibility. </w:t>
      </w:r>
      <w:r w:rsidRPr="00873818">
        <w:rPr>
          <w:rFonts w:cs="Arial"/>
        </w:rPr>
        <w:t>Cambridge: Cambridge University Press.</w:t>
      </w:r>
    </w:p>
    <w:p w:rsidR="00873818" w:rsidRPr="00873818" w:rsidRDefault="00873818" w:rsidP="00873818">
      <w:pPr>
        <w:pStyle w:val="StyleLeft0cmHanging127cmAfter0pt"/>
        <w:spacing w:after="0"/>
        <w:rPr>
          <w:rFonts w:cs="Arial"/>
        </w:rPr>
      </w:pPr>
      <w:r w:rsidRPr="00873818">
        <w:rPr>
          <w:rFonts w:cs="Arial"/>
        </w:rPr>
        <w:t xml:space="preserve">Tashakkori, A. and Teddlie, C. (1998) </w:t>
      </w:r>
      <w:r w:rsidRPr="00873818">
        <w:rPr>
          <w:rFonts w:cs="Arial"/>
          <w:i/>
        </w:rPr>
        <w:t xml:space="preserve">Mixed Methodology: Combining Qualitative and Quantitative Approaches. </w:t>
      </w:r>
      <w:r w:rsidRPr="00873818">
        <w:rPr>
          <w:rFonts w:cs="Arial"/>
        </w:rPr>
        <w:t>London: Sage.</w:t>
      </w:r>
    </w:p>
    <w:p w:rsidR="00873818" w:rsidRPr="00873818" w:rsidRDefault="00873818" w:rsidP="00873818">
      <w:pPr>
        <w:pStyle w:val="StyleLeft0cmHanging127cmAfter0pt"/>
        <w:spacing w:after="0"/>
        <w:rPr>
          <w:rFonts w:cs="Arial"/>
        </w:rPr>
      </w:pPr>
      <w:r w:rsidRPr="00873818">
        <w:rPr>
          <w:rFonts w:cs="Arial"/>
        </w:rPr>
        <w:t>Thanasoulas, C. (2000) What is learner autonomy and how can it be fostered? Available at &lt;</w:t>
      </w:r>
      <w:hyperlink r:id="rId10" w:history="1">
        <w:r w:rsidRPr="00873818">
          <w:rPr>
            <w:rStyle w:val="Hyperlink"/>
            <w:rFonts w:cs="Arial"/>
          </w:rPr>
          <w:t>http://iteslj.org/Articles/Thanasoulas-Autonomy.html&gt;</w:t>
        </w:r>
      </w:hyperlink>
      <w:r w:rsidRPr="00873818">
        <w:rPr>
          <w:rFonts w:cs="Arial"/>
        </w:rPr>
        <w:t>. [Last accessed November 2006]</w:t>
      </w:r>
    </w:p>
    <w:p w:rsidR="00873818" w:rsidRPr="00873818" w:rsidRDefault="00873818" w:rsidP="00873818">
      <w:pPr>
        <w:pStyle w:val="StyleLeft0cmHanging127cmAfter0pt"/>
        <w:spacing w:after="0"/>
        <w:rPr>
          <w:rFonts w:cs="Arial"/>
        </w:rPr>
      </w:pPr>
      <w:r w:rsidRPr="00873818">
        <w:rPr>
          <w:rFonts w:cs="Arial"/>
        </w:rPr>
        <w:t xml:space="preserve">Wilcox, S. (1996) 'Fostering self-directed learning in the university setting'. </w:t>
      </w:r>
      <w:r w:rsidRPr="00873818">
        <w:rPr>
          <w:rFonts w:cs="Arial"/>
          <w:i/>
        </w:rPr>
        <w:t>Studies in Higher Education,</w:t>
      </w:r>
      <w:r w:rsidRPr="00873818">
        <w:rPr>
          <w:rFonts w:cs="Arial"/>
        </w:rPr>
        <w:t xml:space="preserve"> 21 (2): 165-176.</w:t>
      </w:r>
    </w:p>
    <w:p w:rsidR="00873818" w:rsidRPr="00873818" w:rsidRDefault="00873818" w:rsidP="00873818">
      <w:pPr>
        <w:pStyle w:val="StyleLeft0cmHanging127cmAfter0pt"/>
        <w:spacing w:after="0"/>
        <w:ind w:left="0" w:firstLine="0"/>
        <w:rPr>
          <w:rFonts w:cs="Arial"/>
        </w:rPr>
      </w:pPr>
    </w:p>
    <w:p w:rsidR="008B25B9" w:rsidRDefault="00F248C9" w:rsidP="00873818">
      <w:pPr>
        <w:pStyle w:val="StyleLeft0cmHanging127cmAfter0pt"/>
        <w:spacing w:after="0"/>
      </w:pPr>
      <w:r>
        <w:fldChar w:fldCharType="end"/>
      </w:r>
    </w:p>
    <w:p w:rsidR="008B25B9" w:rsidRDefault="008B25B9" w:rsidP="008B25B9">
      <w:pPr>
        <w:pStyle w:val="StyleLeft0cmHanging127cmAfter0pt"/>
        <w:spacing w:after="0"/>
      </w:pPr>
      <w:r>
        <w:br w:type="page"/>
      </w:r>
      <w:r w:rsidR="009A5A05">
        <w:rPr>
          <w:noProof/>
        </w:rPr>
        <w:lastRenderedPageBreak/>
        <w:drawing>
          <wp:inline distT="0" distB="0" distL="0" distR="0">
            <wp:extent cx="5734050" cy="8115300"/>
            <wp:effectExtent l="19050" t="0" r="0" b="0"/>
            <wp:docPr id="7" name="Picture 7" descr="C:\Documents and Settings\llrscq\Desktop\CCC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lrscq\Desktop\CCC_POSTER.jpg"/>
                    <pic:cNvPicPr>
                      <a:picLocks noChangeAspect="1" noChangeArrowheads="1"/>
                    </pic:cNvPicPr>
                  </pic:nvPicPr>
                  <pic:blipFill>
                    <a:blip r:embed="rId11" cstate="print"/>
                    <a:srcRect/>
                    <a:stretch>
                      <a:fillRect/>
                    </a:stretch>
                  </pic:blipFill>
                  <pic:spPr bwMode="auto">
                    <a:xfrm>
                      <a:off x="0" y="0"/>
                      <a:ext cx="5734050" cy="8115300"/>
                    </a:xfrm>
                    <a:prstGeom prst="rect">
                      <a:avLst/>
                    </a:prstGeom>
                    <a:noFill/>
                    <a:ln w="9525">
                      <a:noFill/>
                      <a:miter lim="800000"/>
                      <a:headEnd/>
                      <a:tailEnd/>
                    </a:ln>
                  </pic:spPr>
                </pic:pic>
              </a:graphicData>
            </a:graphic>
          </wp:inline>
        </w:drawing>
      </w:r>
      <w:r>
        <w:br w:type="page"/>
      </w:r>
      <w:r w:rsidR="009A5A05">
        <w:rPr>
          <w:noProof/>
        </w:rPr>
        <w:lastRenderedPageBreak/>
        <w:drawing>
          <wp:inline distT="0" distB="0" distL="0" distR="0">
            <wp:extent cx="5743575" cy="8115300"/>
            <wp:effectExtent l="19050" t="0" r="9525" b="0"/>
            <wp:docPr id="4" name="Picture 4" descr="C:\Documents and Settings\llrscq\Desktop\SSP_compresse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lrscq\Desktop\SSP_compressed_V2.jpg"/>
                    <pic:cNvPicPr>
                      <a:picLocks noChangeAspect="1" noChangeArrowheads="1"/>
                    </pic:cNvPicPr>
                  </pic:nvPicPr>
                  <pic:blipFill>
                    <a:blip r:embed="rId12" cstate="print"/>
                    <a:srcRect/>
                    <a:stretch>
                      <a:fillRect/>
                    </a:stretch>
                  </pic:blipFill>
                  <pic:spPr bwMode="auto">
                    <a:xfrm>
                      <a:off x="0" y="0"/>
                      <a:ext cx="5743575" cy="8115300"/>
                    </a:xfrm>
                    <a:prstGeom prst="rect">
                      <a:avLst/>
                    </a:prstGeom>
                    <a:noFill/>
                    <a:ln w="9525">
                      <a:noFill/>
                      <a:miter lim="800000"/>
                      <a:headEnd/>
                      <a:tailEnd/>
                    </a:ln>
                  </pic:spPr>
                </pic:pic>
              </a:graphicData>
            </a:graphic>
          </wp:inline>
        </w:drawing>
      </w:r>
    </w:p>
    <w:p w:rsidR="0026053D" w:rsidRDefault="0026053D" w:rsidP="008B25B9">
      <w:pPr>
        <w:pStyle w:val="StyleLeft0cmHanging127cmAfter0pt"/>
        <w:spacing w:after="0"/>
      </w:pPr>
    </w:p>
    <w:sectPr w:rsidR="0026053D" w:rsidSect="00FF0CD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0D" w:rsidRDefault="0070590D">
      <w:r>
        <w:separator/>
      </w:r>
    </w:p>
  </w:endnote>
  <w:endnote w:type="continuationSeparator" w:id="0">
    <w:p w:rsidR="0070590D" w:rsidRDefault="0070590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01" w:rsidRDefault="00F248C9">
    <w:pPr>
      <w:pStyle w:val="Footer"/>
    </w:pPr>
    <w:fldSimple w:instr=" PAGE   \* MERGEFORMAT ">
      <w:r w:rsidR="00517904">
        <w:rPr>
          <w:noProof/>
        </w:rPr>
        <w:t>1</w:t>
      </w:r>
    </w:fldSimple>
  </w:p>
  <w:p w:rsidR="00C41301" w:rsidRDefault="00C41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0D" w:rsidRDefault="0070590D">
      <w:r>
        <w:separator/>
      </w:r>
    </w:p>
  </w:footnote>
  <w:footnote w:type="continuationSeparator" w:id="0">
    <w:p w:rsidR="0070590D" w:rsidRDefault="00705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01" w:rsidRDefault="00C41301" w:rsidP="00D61FBB">
    <w:pPr>
      <w:jc w:val="center"/>
    </w:pPr>
    <w:r w:rsidRPr="00AC28AB">
      <w:t>CETL Project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A54"/>
    <w:multiLevelType w:val="hybridMultilevel"/>
    <w:tmpl w:val="B0706758"/>
    <w:lvl w:ilvl="0" w:tplc="7CB46822">
      <w:start w:val="1"/>
      <w:numFmt w:val="bullet"/>
      <w:lvlText w:val="−"/>
      <w:lvlJc w:val="left"/>
      <w:pPr>
        <w:tabs>
          <w:tab w:val="num" w:pos="357"/>
        </w:tabs>
        <w:ind w:left="357" w:hanging="357"/>
      </w:pPr>
      <w:rPr>
        <w:rFonts w:ascii="Palatino Linotype" w:hAnsi="Palatino Linotyp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D06807"/>
    <w:multiLevelType w:val="hybridMultilevel"/>
    <w:tmpl w:val="45902AF4"/>
    <w:lvl w:ilvl="0" w:tplc="7CB46822">
      <w:start w:val="1"/>
      <w:numFmt w:val="bullet"/>
      <w:lvlText w:val="−"/>
      <w:lvlJc w:val="left"/>
      <w:pPr>
        <w:tabs>
          <w:tab w:val="num" w:pos="357"/>
        </w:tabs>
        <w:ind w:left="357" w:hanging="357"/>
      </w:pPr>
      <w:rPr>
        <w:rFonts w:ascii="Palatino Linotype" w:hAnsi="Palatino Linotype"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1E18A5"/>
    <w:multiLevelType w:val="hybridMultilevel"/>
    <w:tmpl w:val="624682A6"/>
    <w:lvl w:ilvl="0" w:tplc="7CB46822">
      <w:start w:val="1"/>
      <w:numFmt w:val="bullet"/>
      <w:lvlText w:val="−"/>
      <w:lvlJc w:val="left"/>
      <w:pPr>
        <w:tabs>
          <w:tab w:val="num" w:pos="357"/>
        </w:tabs>
        <w:ind w:left="357" w:hanging="357"/>
      </w:pPr>
      <w:rPr>
        <w:rFonts w:ascii="Palatino Linotype" w:hAnsi="Palatino Linotyp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7301E56"/>
    <w:multiLevelType w:val="hybridMultilevel"/>
    <w:tmpl w:val="0E68FC1C"/>
    <w:lvl w:ilvl="0" w:tplc="7CB46822">
      <w:start w:val="1"/>
      <w:numFmt w:val="bullet"/>
      <w:lvlText w:val="−"/>
      <w:lvlJc w:val="left"/>
      <w:pPr>
        <w:tabs>
          <w:tab w:val="num" w:pos="357"/>
        </w:tabs>
        <w:ind w:left="357" w:hanging="357"/>
      </w:pPr>
      <w:rPr>
        <w:rFonts w:ascii="Palatino Linotype" w:hAnsi="Palatino Linotyp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317758"/>
    <w:multiLevelType w:val="hybridMultilevel"/>
    <w:tmpl w:val="8310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trackRevisions/>
  <w:defaultTabStop w:val="720"/>
  <w:characterSpacingControl w:val="doNotCompress"/>
  <w:hdrShapeDefaults>
    <o:shapedefaults v:ext="edit" spidmax="2050"/>
  </w:hdrShapeDefaults>
  <w:footnotePr>
    <w:footnote w:id="-1"/>
    <w:footnote w:id="0"/>
  </w:footnotePr>
  <w:endnotePr>
    <w:endnote w:id="-1"/>
    <w:endnote w:id="0"/>
  </w:endnotePr>
  <w:compat/>
  <w:docVars>
    <w:docVar w:name="EN.Layout" w:val="T㪨ϧ쩢"/>
  </w:docVars>
  <w:rsids>
    <w:rsidRoot w:val="00FF0CD3"/>
    <w:rsid w:val="00055220"/>
    <w:rsid w:val="00077D7F"/>
    <w:rsid w:val="00081276"/>
    <w:rsid w:val="000A118F"/>
    <w:rsid w:val="000C68F6"/>
    <w:rsid w:val="000E6195"/>
    <w:rsid w:val="0011120F"/>
    <w:rsid w:val="0013048C"/>
    <w:rsid w:val="00135991"/>
    <w:rsid w:val="00153079"/>
    <w:rsid w:val="001B7610"/>
    <w:rsid w:val="001D1625"/>
    <w:rsid w:val="001E6ECE"/>
    <w:rsid w:val="001F0DA6"/>
    <w:rsid w:val="002562EA"/>
    <w:rsid w:val="002567D6"/>
    <w:rsid w:val="0026053D"/>
    <w:rsid w:val="00260934"/>
    <w:rsid w:val="00271460"/>
    <w:rsid w:val="00276148"/>
    <w:rsid w:val="00282701"/>
    <w:rsid w:val="0029097D"/>
    <w:rsid w:val="002D30CF"/>
    <w:rsid w:val="002E14BA"/>
    <w:rsid w:val="00301366"/>
    <w:rsid w:val="00302B67"/>
    <w:rsid w:val="003060C2"/>
    <w:rsid w:val="00313718"/>
    <w:rsid w:val="003231CF"/>
    <w:rsid w:val="00332B00"/>
    <w:rsid w:val="00337308"/>
    <w:rsid w:val="0034442A"/>
    <w:rsid w:val="00351421"/>
    <w:rsid w:val="003919D2"/>
    <w:rsid w:val="00392265"/>
    <w:rsid w:val="003A0E34"/>
    <w:rsid w:val="003A1FD2"/>
    <w:rsid w:val="003D5D18"/>
    <w:rsid w:val="00431B8C"/>
    <w:rsid w:val="00441D52"/>
    <w:rsid w:val="004A1719"/>
    <w:rsid w:val="004D35DF"/>
    <w:rsid w:val="004E35A4"/>
    <w:rsid w:val="00504F5F"/>
    <w:rsid w:val="005078D2"/>
    <w:rsid w:val="00517904"/>
    <w:rsid w:val="005365DD"/>
    <w:rsid w:val="005407FF"/>
    <w:rsid w:val="0054591E"/>
    <w:rsid w:val="005511E6"/>
    <w:rsid w:val="005579F1"/>
    <w:rsid w:val="0058271A"/>
    <w:rsid w:val="005A6A4C"/>
    <w:rsid w:val="005A71C8"/>
    <w:rsid w:val="005B0702"/>
    <w:rsid w:val="005E0156"/>
    <w:rsid w:val="005E76F6"/>
    <w:rsid w:val="0062182A"/>
    <w:rsid w:val="00631B9E"/>
    <w:rsid w:val="00653D03"/>
    <w:rsid w:val="0066524B"/>
    <w:rsid w:val="00675515"/>
    <w:rsid w:val="00694C41"/>
    <w:rsid w:val="006A087C"/>
    <w:rsid w:val="006A25A3"/>
    <w:rsid w:val="006D1F84"/>
    <w:rsid w:val="006E09D9"/>
    <w:rsid w:val="0070590D"/>
    <w:rsid w:val="0073257E"/>
    <w:rsid w:val="00742271"/>
    <w:rsid w:val="0074310D"/>
    <w:rsid w:val="00771B49"/>
    <w:rsid w:val="00787F0F"/>
    <w:rsid w:val="00791D7E"/>
    <w:rsid w:val="007955D8"/>
    <w:rsid w:val="007A21D3"/>
    <w:rsid w:val="007A5D31"/>
    <w:rsid w:val="007A6038"/>
    <w:rsid w:val="007E032A"/>
    <w:rsid w:val="00871CAB"/>
    <w:rsid w:val="00873818"/>
    <w:rsid w:val="008A20B6"/>
    <w:rsid w:val="008A2C6A"/>
    <w:rsid w:val="008B25B9"/>
    <w:rsid w:val="008B7D86"/>
    <w:rsid w:val="008C0E82"/>
    <w:rsid w:val="008C1656"/>
    <w:rsid w:val="008E34BA"/>
    <w:rsid w:val="008F1BAE"/>
    <w:rsid w:val="00913604"/>
    <w:rsid w:val="00944ABD"/>
    <w:rsid w:val="009532E3"/>
    <w:rsid w:val="00954379"/>
    <w:rsid w:val="009A3D61"/>
    <w:rsid w:val="009A5A05"/>
    <w:rsid w:val="009B2405"/>
    <w:rsid w:val="009B32A9"/>
    <w:rsid w:val="009C16A4"/>
    <w:rsid w:val="009C4DC1"/>
    <w:rsid w:val="009C66A2"/>
    <w:rsid w:val="009F1E52"/>
    <w:rsid w:val="00A46B70"/>
    <w:rsid w:val="00A47FD3"/>
    <w:rsid w:val="00A85FB3"/>
    <w:rsid w:val="00AB118D"/>
    <w:rsid w:val="00AF59AF"/>
    <w:rsid w:val="00B10541"/>
    <w:rsid w:val="00B23F1F"/>
    <w:rsid w:val="00B52959"/>
    <w:rsid w:val="00B706EC"/>
    <w:rsid w:val="00B715D2"/>
    <w:rsid w:val="00BB02DE"/>
    <w:rsid w:val="00BD15FE"/>
    <w:rsid w:val="00BD5A06"/>
    <w:rsid w:val="00BF3559"/>
    <w:rsid w:val="00C00AFD"/>
    <w:rsid w:val="00C119FB"/>
    <w:rsid w:val="00C41301"/>
    <w:rsid w:val="00C54C1A"/>
    <w:rsid w:val="00C64C5B"/>
    <w:rsid w:val="00C741EE"/>
    <w:rsid w:val="00C80E9A"/>
    <w:rsid w:val="00C811D2"/>
    <w:rsid w:val="00C81DF1"/>
    <w:rsid w:val="00C92FA8"/>
    <w:rsid w:val="00CB11B9"/>
    <w:rsid w:val="00D46263"/>
    <w:rsid w:val="00D61FBB"/>
    <w:rsid w:val="00D67DEB"/>
    <w:rsid w:val="00D70A1E"/>
    <w:rsid w:val="00D70E49"/>
    <w:rsid w:val="00D80F31"/>
    <w:rsid w:val="00DA3CD6"/>
    <w:rsid w:val="00DA6915"/>
    <w:rsid w:val="00DB0422"/>
    <w:rsid w:val="00DB2248"/>
    <w:rsid w:val="00DC6685"/>
    <w:rsid w:val="00E0064C"/>
    <w:rsid w:val="00E00763"/>
    <w:rsid w:val="00E16D3F"/>
    <w:rsid w:val="00E340AF"/>
    <w:rsid w:val="00E412CD"/>
    <w:rsid w:val="00E50CB5"/>
    <w:rsid w:val="00E61282"/>
    <w:rsid w:val="00EB254D"/>
    <w:rsid w:val="00EC20F3"/>
    <w:rsid w:val="00EF7481"/>
    <w:rsid w:val="00EF7F87"/>
    <w:rsid w:val="00F05685"/>
    <w:rsid w:val="00F2121F"/>
    <w:rsid w:val="00F230F8"/>
    <w:rsid w:val="00F248C9"/>
    <w:rsid w:val="00F33E33"/>
    <w:rsid w:val="00F44938"/>
    <w:rsid w:val="00F44998"/>
    <w:rsid w:val="00FC6F7C"/>
    <w:rsid w:val="00FD7315"/>
    <w:rsid w:val="00FE052D"/>
    <w:rsid w:val="00FE537B"/>
    <w:rsid w:val="00FF0CD3"/>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B70"/>
    <w:pPr>
      <w:spacing w:after="120"/>
    </w:pPr>
    <w:rPr>
      <w:rFonts w:ascii="Arial" w:eastAsia="SimSun" w:hAnsi="Arial" w:cs="Arial"/>
      <w:sz w:val="22"/>
      <w:szCs w:val="24"/>
    </w:rPr>
  </w:style>
  <w:style w:type="paragraph" w:styleId="Heading1">
    <w:name w:val="heading 1"/>
    <w:basedOn w:val="Normal"/>
    <w:next w:val="Normal"/>
    <w:qFormat/>
    <w:rsid w:val="00FD7315"/>
    <w:pPr>
      <w:keepNext/>
      <w:pageBreakBefore/>
      <w:pBdr>
        <w:top w:val="single" w:sz="4" w:space="6" w:color="auto"/>
      </w:pBdr>
      <w:spacing w:after="600"/>
      <w:outlineLvl w:val="0"/>
    </w:pPr>
    <w:rPr>
      <w:b/>
      <w:bCs/>
      <w:kern w:val="32"/>
      <w:sz w:val="32"/>
      <w:szCs w:val="32"/>
    </w:rPr>
  </w:style>
  <w:style w:type="paragraph" w:styleId="Heading2">
    <w:name w:val="heading 2"/>
    <w:basedOn w:val="Normal"/>
    <w:next w:val="Normal"/>
    <w:qFormat/>
    <w:rsid w:val="00FD7315"/>
    <w:pPr>
      <w:keepNext/>
      <w:spacing w:before="360"/>
      <w:outlineLvl w:val="1"/>
    </w:pPr>
    <w:rPr>
      <w:b/>
      <w:bCs/>
      <w:i/>
      <w:iCs/>
      <w:sz w:val="28"/>
      <w:szCs w:val="28"/>
    </w:rPr>
  </w:style>
  <w:style w:type="paragraph" w:styleId="Heading3">
    <w:name w:val="heading 3"/>
    <w:basedOn w:val="Normal"/>
    <w:next w:val="Normal"/>
    <w:qFormat/>
    <w:rsid w:val="00C92FA8"/>
    <w:pPr>
      <w:keepNext/>
      <w:spacing w:before="240"/>
      <w:outlineLvl w:val="2"/>
    </w:pPr>
    <w:rPr>
      <w:b/>
      <w:bCs/>
      <w:szCs w:val="26"/>
    </w:rPr>
  </w:style>
  <w:style w:type="paragraph" w:styleId="Heading4">
    <w:name w:val="heading 4"/>
    <w:basedOn w:val="Normal"/>
    <w:next w:val="Normal"/>
    <w:qFormat/>
    <w:rsid w:val="003231C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5FE"/>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Heading2"/>
    <w:rsid w:val="003231CF"/>
    <w:pPr>
      <w:keepNext w:val="0"/>
      <w:spacing w:before="0" w:after="60"/>
      <w:ind w:left="567" w:hanging="567"/>
    </w:pPr>
    <w:rPr>
      <w:b w:val="0"/>
      <w:i w:val="0"/>
      <w:sz w:val="22"/>
    </w:rPr>
  </w:style>
  <w:style w:type="paragraph" w:styleId="ListParagraph">
    <w:name w:val="List Paragraph"/>
    <w:basedOn w:val="Normal"/>
    <w:qFormat/>
    <w:rsid w:val="00FF0CD3"/>
    <w:pPr>
      <w:ind w:left="720"/>
      <w:contextualSpacing/>
    </w:pPr>
  </w:style>
  <w:style w:type="paragraph" w:styleId="Header">
    <w:name w:val="header"/>
    <w:basedOn w:val="Normal"/>
    <w:link w:val="HeaderChar"/>
    <w:semiHidden/>
    <w:rsid w:val="00FF0CD3"/>
    <w:pPr>
      <w:tabs>
        <w:tab w:val="center" w:pos="4513"/>
        <w:tab w:val="right" w:pos="9026"/>
      </w:tabs>
      <w:spacing w:after="0"/>
    </w:pPr>
  </w:style>
  <w:style w:type="character" w:customStyle="1" w:styleId="HeaderChar">
    <w:name w:val="Header Char"/>
    <w:basedOn w:val="DefaultParagraphFont"/>
    <w:link w:val="Header"/>
    <w:semiHidden/>
    <w:locked/>
    <w:rsid w:val="00FF0CD3"/>
    <w:rPr>
      <w:rFonts w:ascii="Arial" w:eastAsia="SimSun" w:hAnsi="Arial" w:cs="Arial"/>
      <w:sz w:val="24"/>
      <w:szCs w:val="24"/>
      <w:lang w:val="en-GB" w:eastAsia="zh-CN" w:bidi="ar-SA"/>
    </w:rPr>
  </w:style>
  <w:style w:type="paragraph" w:styleId="Footer">
    <w:name w:val="footer"/>
    <w:basedOn w:val="Normal"/>
    <w:link w:val="FooterChar"/>
    <w:rsid w:val="00FF0CD3"/>
    <w:pPr>
      <w:tabs>
        <w:tab w:val="center" w:pos="4513"/>
        <w:tab w:val="right" w:pos="9026"/>
      </w:tabs>
      <w:spacing w:after="0"/>
    </w:pPr>
  </w:style>
  <w:style w:type="character" w:customStyle="1" w:styleId="FooterChar">
    <w:name w:val="Footer Char"/>
    <w:basedOn w:val="DefaultParagraphFont"/>
    <w:link w:val="Footer"/>
    <w:locked/>
    <w:rsid w:val="00FF0CD3"/>
    <w:rPr>
      <w:rFonts w:ascii="Arial" w:eastAsia="SimSun" w:hAnsi="Arial" w:cs="Arial"/>
      <w:sz w:val="24"/>
      <w:szCs w:val="24"/>
      <w:lang w:val="en-GB" w:eastAsia="zh-CN" w:bidi="ar-SA"/>
    </w:rPr>
  </w:style>
  <w:style w:type="paragraph" w:styleId="BalloonText">
    <w:name w:val="Balloon Text"/>
    <w:basedOn w:val="Normal"/>
    <w:semiHidden/>
    <w:rsid w:val="00C92FA8"/>
    <w:rPr>
      <w:rFonts w:ascii="Tahoma" w:hAnsi="Tahoma" w:cs="Tahoma"/>
      <w:sz w:val="16"/>
      <w:szCs w:val="16"/>
    </w:rPr>
  </w:style>
  <w:style w:type="paragraph" w:styleId="Caption">
    <w:name w:val="caption"/>
    <w:basedOn w:val="Normal"/>
    <w:next w:val="Normal"/>
    <w:qFormat/>
    <w:rsid w:val="00AB118D"/>
    <w:rPr>
      <w:bCs/>
      <w:i/>
      <w:szCs w:val="20"/>
    </w:rPr>
  </w:style>
  <w:style w:type="character" w:styleId="CommentReference">
    <w:name w:val="annotation reference"/>
    <w:basedOn w:val="DefaultParagraphFont"/>
    <w:rsid w:val="0062182A"/>
    <w:rPr>
      <w:sz w:val="16"/>
      <w:szCs w:val="16"/>
    </w:rPr>
  </w:style>
  <w:style w:type="paragraph" w:styleId="CommentText">
    <w:name w:val="annotation text"/>
    <w:basedOn w:val="Normal"/>
    <w:link w:val="CommentTextChar"/>
    <w:rsid w:val="0062182A"/>
    <w:rPr>
      <w:sz w:val="20"/>
      <w:szCs w:val="20"/>
    </w:rPr>
  </w:style>
  <w:style w:type="character" w:customStyle="1" w:styleId="CommentTextChar">
    <w:name w:val="Comment Text Char"/>
    <w:basedOn w:val="DefaultParagraphFont"/>
    <w:link w:val="CommentText"/>
    <w:rsid w:val="0062182A"/>
    <w:rPr>
      <w:rFonts w:ascii="Arial" w:eastAsia="SimSun" w:hAnsi="Arial" w:cs="Arial"/>
    </w:rPr>
  </w:style>
  <w:style w:type="paragraph" w:styleId="CommentSubject">
    <w:name w:val="annotation subject"/>
    <w:basedOn w:val="CommentText"/>
    <w:next w:val="CommentText"/>
    <w:link w:val="CommentSubjectChar"/>
    <w:rsid w:val="0062182A"/>
    <w:rPr>
      <w:b/>
      <w:bCs/>
    </w:rPr>
  </w:style>
  <w:style w:type="character" w:customStyle="1" w:styleId="CommentSubjectChar">
    <w:name w:val="Comment Subject Char"/>
    <w:basedOn w:val="CommentTextChar"/>
    <w:link w:val="CommentSubject"/>
    <w:rsid w:val="0062182A"/>
    <w:rPr>
      <w:b/>
      <w:bCs/>
    </w:rPr>
  </w:style>
  <w:style w:type="character" w:styleId="Hyperlink">
    <w:name w:val="Hyperlink"/>
    <w:basedOn w:val="DefaultParagraphFont"/>
    <w:rsid w:val="004E35A4"/>
    <w:rPr>
      <w:color w:val="0000FF"/>
      <w:u w:val="single"/>
    </w:rPr>
  </w:style>
  <w:style w:type="paragraph" w:customStyle="1" w:styleId="StyleLeft0cmHanging127cmAfter0pt">
    <w:name w:val="Style Left:  0 cm Hanging:  1.27 cm After:  0 pt"/>
    <w:basedOn w:val="Normal"/>
    <w:rsid w:val="00A46B70"/>
    <w:pPr>
      <w:ind w:left="720" w:hanging="720"/>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5912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teslj.org/Articles/Thanasoulas-Autonomy.html%3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3063</Words>
  <Characters>23702</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Click, copy, create: media literacy skills for discovering, evaluating and reusing sound and visual resources</vt:lpstr>
    </vt:vector>
  </TitlesOfParts>
  <Company>Hewlett-Packard</Company>
  <LinksUpToDate>false</LinksUpToDate>
  <CharactersWithSpaces>26712</CharactersWithSpaces>
  <SharedDoc>false</SharedDoc>
  <HLinks>
    <vt:vector size="6" baseType="variant">
      <vt:variant>
        <vt:i4>1572885</vt:i4>
      </vt:variant>
      <vt:variant>
        <vt:i4>38</vt:i4>
      </vt:variant>
      <vt:variant>
        <vt:i4>0</vt:i4>
      </vt:variant>
      <vt:variant>
        <vt:i4>5</vt:i4>
      </vt:variant>
      <vt:variant>
        <vt:lpwstr>http://iteslj.org/Articles/Thanasoulas-Autonomy.html&gt;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copy, create: media literacy skills for discovering, evaluating and reusing sound and visual resources</dc:title>
  <dc:subject/>
  <dc:creator>Florence Dujardin</dc:creator>
  <cp:keywords/>
  <cp:lastModifiedBy>Joanna Elfving-Hwang</cp:lastModifiedBy>
  <cp:revision>4</cp:revision>
  <cp:lastPrinted>2009-07-13T15:17:00Z</cp:lastPrinted>
  <dcterms:created xsi:type="dcterms:W3CDTF">2009-10-08T14:59:00Z</dcterms:created>
  <dcterms:modified xsi:type="dcterms:W3CDTF">2009-10-19T10:16:00Z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60480411</vt:i4>
  </property>
  <property fmtid="{D5CDD505-2E9C-101B-9397-08002B2CF9AE}" pid="3" name="_NewReviewCycle">
    <vt:lpwstr/>
  </property>
  <property fmtid="{D5CDD505-2E9C-101B-9397-08002B2CF9AE}" pid="4" name="_EmailSubject">
    <vt:lpwstr>Stuff to go on the website</vt:lpwstr>
  </property>
  <property fmtid="{D5CDD505-2E9C-101B-9397-08002B2CF9AE}" pid="5" name="_AuthorEmail">
    <vt:lpwstr>litsjke@exchange.shu.ac.uk</vt:lpwstr>
  </property>
  <property fmtid="{D5CDD505-2E9C-101B-9397-08002B2CF9AE}" pid="6" name="_AuthorEmailDisplayName">
    <vt:lpwstr>Elfving-Hwang, Joanna K</vt:lpwstr>
  </property>
  <property fmtid="{D5CDD505-2E9C-101B-9397-08002B2CF9AE}" pid="7" name="_PreviousAdHocReviewCycleID">
    <vt:i4>-1332571524</vt:i4>
  </property>
</Properties>
</file>